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 w:rsidR="009E72BD"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9E72BD">
        <w:t>vlaams minister van financiën, begroting, werk, ruimtelijke ordening en sport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A7EB5">
        <w:rPr>
          <w:b w:val="0"/>
        </w:rPr>
        <w:t>438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0A7EB5">
        <w:rPr>
          <w:b w:val="0"/>
        </w:rPr>
        <w:t>13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80C12">
        <w:rPr>
          <w:b w:val="0"/>
        </w:rPr>
      </w:r>
      <w:r w:rsidR="00480C1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80C12">
        <w:rPr>
          <w:b w:val="0"/>
        </w:rPr>
      </w:r>
      <w:r w:rsidR="00480C1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2E58E2">
        <w:rPr>
          <w:rStyle w:val="AntwoordNaamMinisterChar"/>
        </w:rPr>
        <w:t>lydia peeters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7EB5" w:rsidRDefault="000A7EB5" w:rsidP="000A7EB5">
      <w:pPr>
        <w:pStyle w:val="StandaardSV"/>
        <w:numPr>
          <w:ilvl w:val="0"/>
          <w:numId w:val="14"/>
        </w:numPr>
      </w:pPr>
      <w:r>
        <w:lastRenderedPageBreak/>
        <w:t xml:space="preserve">Overzicht van het aantal (deels) goedgekeurde ruimtelijke uitvoeringsplannen voor de periode 2009 tot en met 2013 per provincie voor de </w:t>
      </w:r>
      <w:r w:rsidRPr="00D65F13">
        <w:rPr>
          <w:u w:val="single"/>
        </w:rPr>
        <w:t xml:space="preserve">gemeentelijke </w:t>
      </w:r>
      <w:proofErr w:type="spellStart"/>
      <w:r w:rsidRPr="00D65F13">
        <w:rPr>
          <w:u w:val="single"/>
        </w:rPr>
        <w:t>RUP’s</w:t>
      </w:r>
      <w:proofErr w:type="spellEnd"/>
      <w:r>
        <w:t xml:space="preserve">. </w:t>
      </w:r>
    </w:p>
    <w:p w:rsidR="000A7EB5" w:rsidRDefault="000A7EB5" w:rsidP="000A7EB5">
      <w:pPr>
        <w:pStyle w:val="StandaardSV"/>
        <w:ind w:left="360"/>
      </w:pPr>
    </w:p>
    <w:tbl>
      <w:tblPr>
        <w:tblW w:w="894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279"/>
        <w:gridCol w:w="1278"/>
        <w:gridCol w:w="1278"/>
        <w:gridCol w:w="1279"/>
      </w:tblGrid>
      <w:tr w:rsidR="000A7EB5" w:rsidRPr="000A7EB5" w:rsidTr="000A7EB5">
        <w:trPr>
          <w:trHeight w:val="255"/>
        </w:trPr>
        <w:tc>
          <w:tcPr>
            <w:tcW w:w="1278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  <w:t xml:space="preserve">Jaar </w:t>
            </w:r>
          </w:p>
        </w:tc>
        <w:tc>
          <w:tcPr>
            <w:tcW w:w="127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27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279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27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Vlaams-Brabant</w:t>
            </w:r>
          </w:p>
        </w:tc>
        <w:tc>
          <w:tcPr>
            <w:tcW w:w="1278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279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</w:t>
            </w:r>
            <w:r w:rsidR="009E05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a</w:t>
            </w: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l</w:t>
            </w:r>
          </w:p>
        </w:tc>
      </w:tr>
      <w:tr w:rsidR="000A7EB5" w:rsidRPr="000A7EB5" w:rsidTr="000A7EB5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2009</w:t>
            </w:r>
          </w:p>
        </w:tc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104</w:t>
            </w:r>
          </w:p>
        </w:tc>
      </w:tr>
      <w:tr w:rsidR="000A7EB5" w:rsidRPr="000A7EB5" w:rsidTr="000A7EB5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2010</w:t>
            </w:r>
          </w:p>
        </w:tc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</w:tr>
      <w:tr w:rsidR="000A7EB5" w:rsidRPr="000A7EB5" w:rsidTr="000A7EB5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2011</w:t>
            </w:r>
          </w:p>
        </w:tc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269</w:t>
            </w:r>
          </w:p>
        </w:tc>
      </w:tr>
      <w:tr w:rsidR="000A7EB5" w:rsidRPr="000A7EB5" w:rsidTr="000A7EB5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2012</w:t>
            </w:r>
          </w:p>
        </w:tc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261</w:t>
            </w:r>
          </w:p>
        </w:tc>
      </w:tr>
      <w:tr w:rsidR="000A7EB5" w:rsidRPr="000A7EB5" w:rsidTr="000A7EB5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251</w:t>
            </w:r>
          </w:p>
        </w:tc>
      </w:tr>
      <w:tr w:rsidR="000A7EB5" w:rsidRPr="009E0595" w:rsidTr="000A7EB5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278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2A65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2A65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2A65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2A65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2A65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2A65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1046</w:t>
            </w:r>
          </w:p>
        </w:tc>
      </w:tr>
    </w:tbl>
    <w:p w:rsidR="000A7EB5" w:rsidRDefault="000A7EB5" w:rsidP="000A7EB5">
      <w:pPr>
        <w:pStyle w:val="StandaardSV"/>
        <w:ind w:left="360"/>
      </w:pPr>
    </w:p>
    <w:p w:rsidR="000A7EB5" w:rsidRDefault="000A7EB5" w:rsidP="000A7EB5">
      <w:pPr>
        <w:pStyle w:val="StandaardSV"/>
        <w:ind w:left="360"/>
      </w:pPr>
    </w:p>
    <w:p w:rsidR="000A7EB5" w:rsidRDefault="000A7EB5" w:rsidP="000A7EB5">
      <w:pPr>
        <w:pStyle w:val="StandaardSV"/>
        <w:ind w:left="360"/>
      </w:pPr>
      <w:r>
        <w:t xml:space="preserve">Overzicht van het aantal (deels) goedgekeurde ruimtelijke uitvoeringsplannen voor de periode 2009 tot en met 2013 per provincie voor de </w:t>
      </w:r>
      <w:r w:rsidRPr="00D65F13">
        <w:rPr>
          <w:u w:val="single"/>
        </w:rPr>
        <w:t xml:space="preserve">provinciale </w:t>
      </w:r>
      <w:proofErr w:type="spellStart"/>
      <w:r w:rsidRPr="00D65F13">
        <w:rPr>
          <w:u w:val="single"/>
        </w:rPr>
        <w:t>RUP’s</w:t>
      </w:r>
      <w:proofErr w:type="spellEnd"/>
      <w:r>
        <w:t xml:space="preserve">. </w:t>
      </w:r>
    </w:p>
    <w:p w:rsidR="000A7EB5" w:rsidRDefault="000A7EB5" w:rsidP="000A7EB5">
      <w:pPr>
        <w:pStyle w:val="StandaardSV"/>
        <w:ind w:left="360"/>
      </w:pP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92"/>
        <w:gridCol w:w="1259"/>
        <w:gridCol w:w="1276"/>
        <w:gridCol w:w="1276"/>
      </w:tblGrid>
      <w:tr w:rsidR="000A7EB5" w:rsidRPr="000A7EB5" w:rsidTr="000A7EB5">
        <w:trPr>
          <w:trHeight w:val="255"/>
        </w:trPr>
        <w:tc>
          <w:tcPr>
            <w:tcW w:w="1275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  <w:t>Jaar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292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259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Vlaams-Brabant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</w:t>
            </w:r>
            <w:r w:rsidR="009E05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a</w:t>
            </w: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l</w:t>
            </w:r>
          </w:p>
        </w:tc>
      </w:tr>
      <w:tr w:rsidR="000A7EB5" w:rsidRPr="000A7EB5" w:rsidTr="000A7EB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0A7EB5" w:rsidRPr="000A7EB5" w:rsidTr="000A7EB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</w:tr>
      <w:tr w:rsidR="000A7EB5" w:rsidRPr="000A7EB5" w:rsidTr="000A7EB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0A7EB5" w:rsidRPr="000A7EB5" w:rsidTr="000A7EB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40</w:t>
            </w:r>
          </w:p>
        </w:tc>
      </w:tr>
      <w:tr w:rsidR="000A7EB5" w:rsidRPr="000A7EB5" w:rsidTr="000A7EB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</w:tr>
      <w:tr w:rsidR="000A7EB5" w:rsidRPr="000A7EB5" w:rsidTr="000A7EB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86</w:t>
            </w:r>
          </w:p>
        </w:tc>
      </w:tr>
    </w:tbl>
    <w:p w:rsidR="000A7EB5" w:rsidRDefault="000A7EB5" w:rsidP="000A7EB5">
      <w:pPr>
        <w:pStyle w:val="StandaardSV"/>
        <w:ind w:left="360"/>
      </w:pPr>
    </w:p>
    <w:p w:rsidR="000A7EB5" w:rsidRDefault="000A7EB5" w:rsidP="000A7EB5">
      <w:pPr>
        <w:pStyle w:val="StandaardSV"/>
        <w:ind w:left="360"/>
      </w:pPr>
    </w:p>
    <w:p w:rsidR="000A7EB5" w:rsidRDefault="000A7EB5" w:rsidP="000A7EB5">
      <w:pPr>
        <w:pStyle w:val="StandaardSV"/>
        <w:ind w:left="360"/>
      </w:pPr>
      <w:r>
        <w:t xml:space="preserve">Overzicht van het aantal (deels) goedgekeurde ruimtelijke uitvoeringsplannen voor de periode 2009 tot en met 2013 per provincie voor de </w:t>
      </w:r>
      <w:r w:rsidRPr="00D65F13">
        <w:rPr>
          <w:u w:val="single"/>
        </w:rPr>
        <w:t xml:space="preserve">gewestelijke </w:t>
      </w:r>
      <w:proofErr w:type="spellStart"/>
      <w:r w:rsidRPr="00D65F13">
        <w:rPr>
          <w:u w:val="single"/>
        </w:rPr>
        <w:t>RUP’s</w:t>
      </w:r>
      <w:proofErr w:type="spellEnd"/>
      <w:r>
        <w:t xml:space="preserve">. </w:t>
      </w:r>
    </w:p>
    <w:p w:rsidR="000A7EB5" w:rsidRDefault="000A7EB5" w:rsidP="000A7EB5">
      <w:pPr>
        <w:pStyle w:val="StandaardSV"/>
        <w:ind w:left="360"/>
      </w:pP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</w:tblGrid>
      <w:tr w:rsidR="009E0595" w:rsidRPr="000A7EB5" w:rsidTr="009E0595">
        <w:trPr>
          <w:trHeight w:val="255"/>
        </w:trPr>
        <w:tc>
          <w:tcPr>
            <w:tcW w:w="1275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nl-BE" w:eastAsia="nl-BE"/>
              </w:rPr>
              <w:t>Jaar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275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Vlaams-Brabant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276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</w:t>
            </w:r>
            <w:r w:rsidR="009E05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a</w:t>
            </w: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l</w:t>
            </w:r>
          </w:p>
        </w:tc>
      </w:tr>
      <w:tr w:rsidR="009E0595" w:rsidRPr="000A7EB5" w:rsidTr="009E059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33</w:t>
            </w:r>
          </w:p>
        </w:tc>
      </w:tr>
      <w:tr w:rsidR="009E0595" w:rsidRPr="000A7EB5" w:rsidTr="009E059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9E0595" w:rsidRPr="000A7EB5" w:rsidTr="009E059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</w:tr>
      <w:tr w:rsidR="009E0595" w:rsidRPr="000A7EB5" w:rsidTr="009E059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</w:tr>
      <w:tr w:rsidR="009E0595" w:rsidRPr="000A7EB5" w:rsidTr="009E059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color w:val="333333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9E0595" w:rsidRPr="000A7EB5" w:rsidTr="009E0595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276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:rsidR="000A7EB5" w:rsidRPr="000A7EB5" w:rsidRDefault="000A7EB5" w:rsidP="000A7E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A7EB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</w:tr>
    </w:tbl>
    <w:p w:rsidR="000A7EB5" w:rsidRDefault="000A7EB5" w:rsidP="000A7EB5">
      <w:pPr>
        <w:pStyle w:val="StandaardSV"/>
        <w:ind w:left="360"/>
      </w:pPr>
    </w:p>
    <w:p w:rsidR="000A7EB5" w:rsidRDefault="009E0595" w:rsidP="00E9611E">
      <w:pPr>
        <w:pStyle w:val="StandaardSV"/>
        <w:tabs>
          <w:tab w:val="left" w:pos="2268"/>
        </w:tabs>
        <w:ind w:left="360"/>
      </w:pPr>
      <w:r>
        <w:t xml:space="preserve">Hier dient de kanttekening gemaakt te worden dat een gewestelijk RUP </w:t>
      </w:r>
      <w:r w:rsidR="00416AB5">
        <w:t>betrekking kan hebben op meerdere provincies</w:t>
      </w:r>
      <w:r>
        <w:t>. Het gevolg hiervan is dat het totaal aantal dossiers lager ligt dan de (valse) som van de provincies.</w:t>
      </w:r>
    </w:p>
    <w:p w:rsidR="000A7EB5" w:rsidRDefault="000A7EB5" w:rsidP="000A7EB5">
      <w:pPr>
        <w:pStyle w:val="StandaardSV"/>
      </w:pPr>
    </w:p>
    <w:p w:rsidR="00E9611E" w:rsidRDefault="00D65F13" w:rsidP="00DA4450">
      <w:pPr>
        <w:pStyle w:val="StandaardSV"/>
        <w:numPr>
          <w:ilvl w:val="0"/>
          <w:numId w:val="14"/>
        </w:numPr>
      </w:pPr>
      <w:r>
        <w:t xml:space="preserve">Onderstaande </w:t>
      </w:r>
      <w:r w:rsidR="00E9611E">
        <w:t>datasets</w:t>
      </w:r>
      <w:r>
        <w:t xml:space="preserve"> geven een overzicht </w:t>
      </w:r>
      <w:r w:rsidR="000A7EB5">
        <w:t>van de gemiddelde doorlooptijd van de in de voorbi</w:t>
      </w:r>
      <w:r>
        <w:t xml:space="preserve">je vijf jaar goedgekeurde </w:t>
      </w:r>
      <w:proofErr w:type="spellStart"/>
      <w:r>
        <w:t>RUP’s</w:t>
      </w:r>
      <w:proofErr w:type="spellEnd"/>
      <w:r>
        <w:t xml:space="preserve">. </w:t>
      </w:r>
      <w:r w:rsidR="00E9611E">
        <w:t>De gemiddelde</w:t>
      </w:r>
      <w:r>
        <w:t xml:space="preserve"> </w:t>
      </w:r>
      <w:r w:rsidR="00DA4450">
        <w:t xml:space="preserve">doorlooptijd </w:t>
      </w:r>
      <w:r w:rsidR="00E9611E">
        <w:t xml:space="preserve">wordt </w:t>
      </w:r>
      <w:r w:rsidR="00DA4450">
        <w:t xml:space="preserve">berekend </w:t>
      </w:r>
      <w:r w:rsidR="00E9611E">
        <w:t>als</w:t>
      </w:r>
      <w:r w:rsidR="00DA4450">
        <w:t xml:space="preserve"> </w:t>
      </w:r>
      <w:r w:rsidR="00E9611E">
        <w:t>de tijd tussen de datum van de plenaire vergadering en de goedkeuringsdatum van het RUP.</w:t>
      </w:r>
    </w:p>
    <w:p w:rsidR="000A7EB5" w:rsidRDefault="000A7EB5" w:rsidP="000A7EB5">
      <w:pPr>
        <w:pStyle w:val="StandaardSV"/>
      </w:pPr>
    </w:p>
    <w:p w:rsidR="009F215C" w:rsidRDefault="00D65F13" w:rsidP="000A7EB5">
      <w:pPr>
        <w:pStyle w:val="StandaardSV"/>
      </w:pPr>
      <w:r>
        <w:t xml:space="preserve">2a. </w:t>
      </w:r>
      <w:r w:rsidR="009F215C">
        <w:t xml:space="preserve">Overzicht van de gemiddelde doorlooptijd van de </w:t>
      </w:r>
      <w:r w:rsidR="009F215C" w:rsidRPr="00D65F13">
        <w:rPr>
          <w:u w:val="single"/>
        </w:rPr>
        <w:t xml:space="preserve">gemeentelijke </w:t>
      </w:r>
      <w:proofErr w:type="spellStart"/>
      <w:r w:rsidR="009F215C" w:rsidRPr="00D65F13">
        <w:rPr>
          <w:u w:val="single"/>
        </w:rPr>
        <w:t>RUP</w:t>
      </w:r>
      <w:r>
        <w:rPr>
          <w:u w:val="single"/>
        </w:rPr>
        <w:t>’s</w:t>
      </w:r>
      <w:proofErr w:type="spellEnd"/>
      <w:r w:rsidR="009F215C">
        <w:t>.</w:t>
      </w:r>
    </w:p>
    <w:p w:rsidR="00E9611E" w:rsidRDefault="00E9611E" w:rsidP="000A7EB5">
      <w:pPr>
        <w:pStyle w:val="StandaardSV"/>
      </w:pPr>
    </w:p>
    <w:tbl>
      <w:tblPr>
        <w:tblW w:w="49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677"/>
      </w:tblGrid>
      <w:tr w:rsidR="009F215C" w:rsidRPr="009F215C" w:rsidTr="00930C23">
        <w:trPr>
          <w:trHeight w:val="25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F215C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Provincie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C23" w:rsidRDefault="009F215C" w:rsidP="00930C23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nl-BE"/>
              </w:rPr>
              <w:t>Gemiddelde</w:t>
            </w:r>
            <w:r w:rsidR="00930C23">
              <w:rPr>
                <w:rFonts w:ascii="Arial" w:hAnsi="Arial" w:cs="Arial"/>
                <w:sz w:val="20"/>
                <w:szCs w:val="20"/>
                <w:lang w:val="nl-BE" w:eastAsia="nl-BE"/>
              </w:rPr>
              <w:t xml:space="preserve"> doorlooptijd</w:t>
            </w:r>
          </w:p>
          <w:p w:rsidR="009F215C" w:rsidRPr="009F215C" w:rsidRDefault="00930C23" w:rsidP="00930C23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nl-BE"/>
              </w:rPr>
              <w:t>(in dagen)</w:t>
            </w:r>
          </w:p>
        </w:tc>
      </w:tr>
      <w:tr w:rsidR="009F215C" w:rsidRPr="009F215C" w:rsidTr="00930C23">
        <w:trPr>
          <w:trHeight w:val="25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F215C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Antwerpen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30C23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469</w:t>
            </w:r>
          </w:p>
        </w:tc>
      </w:tr>
      <w:tr w:rsidR="009F215C" w:rsidRPr="009F215C" w:rsidTr="00930C23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F215C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30C23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430</w:t>
            </w:r>
          </w:p>
        </w:tc>
      </w:tr>
      <w:tr w:rsidR="009F215C" w:rsidRPr="009F215C" w:rsidTr="00930C23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F215C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Oost-Vlaanderen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30C23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435</w:t>
            </w:r>
          </w:p>
        </w:tc>
      </w:tr>
      <w:tr w:rsidR="009F215C" w:rsidRPr="009F215C" w:rsidTr="00930C23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F215C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Vlaams-Brabant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30C23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462</w:t>
            </w:r>
          </w:p>
        </w:tc>
      </w:tr>
      <w:tr w:rsidR="009F215C" w:rsidRPr="009F215C" w:rsidTr="00930C23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F215C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West-Vlaanderen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30C23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504</w:t>
            </w:r>
          </w:p>
        </w:tc>
      </w:tr>
      <w:tr w:rsidR="009F215C" w:rsidRPr="009F215C" w:rsidTr="00930C23">
        <w:trPr>
          <w:trHeight w:val="25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F215C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nl-BE"/>
              </w:rPr>
              <w:t>Globaal gemiddelde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5C" w:rsidRPr="009F215C" w:rsidRDefault="009F215C" w:rsidP="00930C23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9F215C">
              <w:rPr>
                <w:rFonts w:ascii="Arial" w:hAnsi="Arial" w:cs="Arial"/>
                <w:sz w:val="20"/>
                <w:szCs w:val="20"/>
                <w:lang w:val="nl-BE" w:eastAsia="nl-BE"/>
              </w:rPr>
              <w:t>463</w:t>
            </w:r>
          </w:p>
        </w:tc>
      </w:tr>
    </w:tbl>
    <w:p w:rsidR="009F215C" w:rsidRDefault="009F215C" w:rsidP="000A7EB5">
      <w:pPr>
        <w:pStyle w:val="StandaardSV"/>
      </w:pPr>
    </w:p>
    <w:p w:rsidR="009F215C" w:rsidRDefault="00292287" w:rsidP="000A7EB5">
      <w:pPr>
        <w:pStyle w:val="StandaardSV"/>
      </w:pPr>
      <w:r>
        <w:t>Naast deze gemiddelde doorlooptijd is het ook interessant de</w:t>
      </w:r>
      <w:r w:rsidR="009F215C">
        <w:t xml:space="preserve"> frequentieverdeling te tonen.</w:t>
      </w:r>
    </w:p>
    <w:p w:rsidR="009F215C" w:rsidRDefault="009F215C" w:rsidP="000A7EB5">
      <w:pPr>
        <w:pStyle w:val="StandaardSV"/>
      </w:pPr>
    </w:p>
    <w:p w:rsidR="00C62A0E" w:rsidRDefault="00C62A0E" w:rsidP="000A7EB5">
      <w:pPr>
        <w:pStyle w:val="StandaardSV"/>
      </w:pPr>
      <w:r>
        <w:t>Frequentieverdeling (in klassen van 100 dagen) van de doorlooptijd van een gemeentelijk RUP</w:t>
      </w:r>
      <w:r w:rsidR="00292287">
        <w:t>:</w:t>
      </w:r>
    </w:p>
    <w:p w:rsidR="002A650D" w:rsidRDefault="00C62A0E" w:rsidP="000A7EB5">
      <w:pPr>
        <w:pStyle w:val="StandaardSV"/>
      </w:pPr>
      <w:r>
        <w:rPr>
          <w:noProof/>
          <w:lang w:val="nl-BE" w:eastAsia="nl-BE"/>
        </w:rPr>
        <w:drawing>
          <wp:inline distT="0" distB="0" distL="0" distR="0" wp14:anchorId="08EC4A07" wp14:editId="08EC4A08">
            <wp:extent cx="5760720" cy="2782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50D" w:rsidRDefault="002A650D" w:rsidP="000A7EB5">
      <w:pPr>
        <w:pStyle w:val="StandaardSV"/>
      </w:pPr>
    </w:p>
    <w:p w:rsidR="009F215C" w:rsidRDefault="00930C23" w:rsidP="009F215C">
      <w:pPr>
        <w:pStyle w:val="StandaardSV"/>
      </w:pPr>
      <w:r>
        <w:t>D</w:t>
      </w:r>
      <w:r w:rsidR="00D65F13">
        <w:t xml:space="preserve">e helft </w:t>
      </w:r>
      <w:r w:rsidR="009F215C">
        <w:t xml:space="preserve">van </w:t>
      </w:r>
      <w:r>
        <w:t>het aantal</w:t>
      </w:r>
      <w:r w:rsidR="009F215C">
        <w:t xml:space="preserve"> gemeentelijke </w:t>
      </w:r>
      <w:proofErr w:type="spellStart"/>
      <w:r w:rsidR="009F215C">
        <w:t>RUP</w:t>
      </w:r>
      <w:r>
        <w:t>’</w:t>
      </w:r>
      <w:r w:rsidR="009F215C">
        <w:t>s</w:t>
      </w:r>
      <w:proofErr w:type="spellEnd"/>
      <w:r w:rsidR="009F215C">
        <w:t xml:space="preserve"> </w:t>
      </w:r>
      <w:r>
        <w:t xml:space="preserve">heeft </w:t>
      </w:r>
      <w:r w:rsidR="00C62A0E">
        <w:t xml:space="preserve">een doorlooptijd </w:t>
      </w:r>
      <w:r w:rsidR="009F215C">
        <w:t xml:space="preserve">van </w:t>
      </w:r>
      <w:r>
        <w:t>maximum 1 jaar</w:t>
      </w:r>
      <w:r w:rsidR="009F215C">
        <w:t>.</w:t>
      </w:r>
      <w:r>
        <w:t xml:space="preserve"> </w:t>
      </w:r>
      <w:r w:rsidR="00DA4450">
        <w:t xml:space="preserve">Uitzonderlijk (&lt; 10%) is de doorlooptijd </w:t>
      </w:r>
      <w:r>
        <w:t>langer</w:t>
      </w:r>
      <w:r w:rsidR="00DA4450">
        <w:t xml:space="preserve"> dan 2 jaar. </w:t>
      </w:r>
    </w:p>
    <w:p w:rsidR="009F215C" w:rsidRDefault="009F215C" w:rsidP="009F215C">
      <w:pPr>
        <w:pStyle w:val="StandaardSV"/>
      </w:pPr>
    </w:p>
    <w:p w:rsidR="00930C23" w:rsidRDefault="00930C23" w:rsidP="009F215C">
      <w:pPr>
        <w:pStyle w:val="StandaardSV"/>
      </w:pPr>
    </w:p>
    <w:p w:rsidR="009F215C" w:rsidRDefault="00D65F13" w:rsidP="009F215C">
      <w:pPr>
        <w:pStyle w:val="StandaardSV"/>
      </w:pPr>
      <w:r>
        <w:t xml:space="preserve">2b. </w:t>
      </w:r>
      <w:r w:rsidR="009F215C">
        <w:t xml:space="preserve">Overzicht van de gemiddelde doorlooptijd van de </w:t>
      </w:r>
      <w:r w:rsidR="007E477A" w:rsidRPr="00D65F13">
        <w:rPr>
          <w:u w:val="single"/>
        </w:rPr>
        <w:t>provinciale</w:t>
      </w:r>
      <w:r w:rsidR="009F215C" w:rsidRPr="00D65F13">
        <w:rPr>
          <w:u w:val="single"/>
        </w:rPr>
        <w:t xml:space="preserve"> </w:t>
      </w:r>
      <w:proofErr w:type="spellStart"/>
      <w:r w:rsidR="009F215C" w:rsidRPr="00D65F13">
        <w:rPr>
          <w:u w:val="single"/>
        </w:rPr>
        <w:t>RUP</w:t>
      </w:r>
      <w:r>
        <w:rPr>
          <w:u w:val="single"/>
        </w:rPr>
        <w:t>’s</w:t>
      </w:r>
      <w:proofErr w:type="spellEnd"/>
      <w:r w:rsidR="009F215C">
        <w:t>.</w:t>
      </w:r>
    </w:p>
    <w:p w:rsidR="007E477A" w:rsidRDefault="007E477A" w:rsidP="009F215C">
      <w:pPr>
        <w:pStyle w:val="StandaardSV"/>
      </w:pPr>
    </w:p>
    <w:p w:rsidR="00E9611E" w:rsidRDefault="00E9611E" w:rsidP="009F215C">
      <w:pPr>
        <w:pStyle w:val="StandaardSV"/>
      </w:pPr>
    </w:p>
    <w:tbl>
      <w:tblPr>
        <w:tblW w:w="494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647"/>
      </w:tblGrid>
      <w:tr w:rsidR="007E477A" w:rsidRPr="007E477A" w:rsidTr="00292287">
        <w:trPr>
          <w:trHeight w:val="25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7E477A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Provincie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287" w:rsidRDefault="007E477A" w:rsidP="0029228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nl-BE"/>
              </w:rPr>
              <w:t>Gemiddelde</w:t>
            </w:r>
            <w:r w:rsidR="00292287">
              <w:rPr>
                <w:rFonts w:ascii="Arial" w:hAnsi="Arial" w:cs="Arial"/>
                <w:sz w:val="20"/>
                <w:szCs w:val="20"/>
                <w:lang w:val="nl-BE" w:eastAsia="nl-BE"/>
              </w:rPr>
              <w:t xml:space="preserve"> doorlooptijd</w:t>
            </w:r>
          </w:p>
          <w:p w:rsidR="007E477A" w:rsidRPr="007E477A" w:rsidRDefault="00292287" w:rsidP="0029228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nl-BE"/>
              </w:rPr>
              <w:t>(in dagen)</w:t>
            </w:r>
          </w:p>
        </w:tc>
      </w:tr>
      <w:tr w:rsidR="007E477A" w:rsidRPr="007E477A" w:rsidTr="00292287">
        <w:trPr>
          <w:trHeight w:val="25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7E477A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Antwerpen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29228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492</w:t>
            </w:r>
          </w:p>
        </w:tc>
      </w:tr>
      <w:tr w:rsidR="007E477A" w:rsidRPr="007E477A" w:rsidTr="00292287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7E477A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29228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495</w:t>
            </w:r>
          </w:p>
        </w:tc>
      </w:tr>
      <w:tr w:rsidR="007E477A" w:rsidRPr="007E477A" w:rsidTr="00292287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7E477A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Oost-Vlaanderen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29228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375</w:t>
            </w:r>
          </w:p>
        </w:tc>
      </w:tr>
      <w:tr w:rsidR="007E477A" w:rsidRPr="007E477A" w:rsidTr="00292287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7E477A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Vlaams-Brabant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29228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482</w:t>
            </w:r>
          </w:p>
        </w:tc>
      </w:tr>
      <w:tr w:rsidR="007E477A" w:rsidRPr="007E477A" w:rsidTr="00292287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7E477A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West-Vlaanderen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29228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453</w:t>
            </w:r>
          </w:p>
        </w:tc>
      </w:tr>
      <w:tr w:rsidR="007E477A" w:rsidRPr="007E477A" w:rsidTr="00292287">
        <w:trPr>
          <w:trHeight w:val="25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7E477A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nl-BE"/>
              </w:rPr>
              <w:t>Globaal gemiddelde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77A" w:rsidRPr="007E477A" w:rsidRDefault="007E477A" w:rsidP="00292287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7E477A">
              <w:rPr>
                <w:rFonts w:ascii="Arial" w:hAnsi="Arial" w:cs="Arial"/>
                <w:sz w:val="20"/>
                <w:szCs w:val="20"/>
                <w:lang w:val="nl-BE" w:eastAsia="nl-BE"/>
              </w:rPr>
              <w:t>476</w:t>
            </w:r>
          </w:p>
        </w:tc>
      </w:tr>
    </w:tbl>
    <w:p w:rsidR="007E477A" w:rsidRDefault="007E477A" w:rsidP="009F215C">
      <w:pPr>
        <w:pStyle w:val="StandaardSV"/>
      </w:pPr>
    </w:p>
    <w:p w:rsidR="00292287" w:rsidRDefault="00292287" w:rsidP="00292287">
      <w:pPr>
        <w:pStyle w:val="StandaardSV"/>
      </w:pPr>
      <w:r>
        <w:t xml:space="preserve">(Dit gemiddelde werd berekend aan de hand van cijfergegevens over 71 van de 86 </w:t>
      </w:r>
      <w:proofErr w:type="spellStart"/>
      <w:r>
        <w:t>PRUPs</w:t>
      </w:r>
      <w:proofErr w:type="spellEnd"/>
      <w:r>
        <w:t>).</w:t>
      </w:r>
    </w:p>
    <w:p w:rsidR="00292287" w:rsidRDefault="00292287" w:rsidP="00292287">
      <w:pPr>
        <w:pStyle w:val="StandaardSV"/>
      </w:pPr>
    </w:p>
    <w:p w:rsidR="00292287" w:rsidRDefault="00292287" w:rsidP="00292287">
      <w:pPr>
        <w:pStyle w:val="StandaardSV"/>
      </w:pPr>
      <w:r>
        <w:t>Naast deze gemiddelde doorlooptijd is het ook interessant de frequentieverdeling te tonen.</w:t>
      </w:r>
    </w:p>
    <w:p w:rsidR="007E477A" w:rsidRDefault="007E477A" w:rsidP="007E477A">
      <w:pPr>
        <w:pStyle w:val="StandaardSV"/>
      </w:pPr>
    </w:p>
    <w:p w:rsidR="007E477A" w:rsidRDefault="007E477A" w:rsidP="007E477A">
      <w:pPr>
        <w:pStyle w:val="StandaardSV"/>
      </w:pPr>
      <w:r>
        <w:t>Frequentieverdeling (in klassen van 100 dagen) van de doorl</w:t>
      </w:r>
      <w:r w:rsidR="00292287">
        <w:t>ooptijd van een provinciaal RUP:</w:t>
      </w:r>
    </w:p>
    <w:p w:rsidR="00C62A0E" w:rsidRDefault="001079E6" w:rsidP="00292287">
      <w:pPr>
        <w:pStyle w:val="StandaardSV"/>
        <w:jc w:val="center"/>
      </w:pPr>
      <w:r>
        <w:rPr>
          <w:noProof/>
          <w:lang w:val="nl-BE" w:eastAsia="nl-BE"/>
        </w:rPr>
        <w:lastRenderedPageBreak/>
        <w:drawing>
          <wp:inline distT="0" distB="0" distL="0" distR="0" wp14:anchorId="08EC4A09" wp14:editId="08EC4A0A">
            <wp:extent cx="5754358" cy="2743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435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7A" w:rsidRDefault="007E477A" w:rsidP="000A7EB5">
      <w:pPr>
        <w:pStyle w:val="StandaardSV"/>
      </w:pPr>
    </w:p>
    <w:p w:rsidR="00292287" w:rsidRDefault="00292287" w:rsidP="007E477A">
      <w:pPr>
        <w:pStyle w:val="StandaardSV"/>
      </w:pPr>
    </w:p>
    <w:p w:rsidR="007E477A" w:rsidRDefault="00292287" w:rsidP="007E477A">
      <w:pPr>
        <w:pStyle w:val="StandaardSV"/>
      </w:pPr>
      <w:r>
        <w:t>O</w:t>
      </w:r>
      <w:r w:rsidR="007E477A">
        <w:t xml:space="preserve">ngeveer een kwart  van de provinciale </w:t>
      </w:r>
      <w:proofErr w:type="spellStart"/>
      <w:r w:rsidR="007E477A">
        <w:t>RUP’s</w:t>
      </w:r>
      <w:proofErr w:type="spellEnd"/>
      <w:r w:rsidR="007E477A">
        <w:t xml:space="preserve"> </w:t>
      </w:r>
      <w:r>
        <w:t xml:space="preserve">heeft </w:t>
      </w:r>
      <w:r w:rsidR="007E477A">
        <w:t xml:space="preserve">een doorlooptijd van </w:t>
      </w:r>
      <w:r>
        <w:t>minder dan</w:t>
      </w:r>
      <w:r w:rsidR="007E477A">
        <w:t xml:space="preserve"> 1 jaar. </w:t>
      </w:r>
      <w:r w:rsidR="001079E6">
        <w:t>98</w:t>
      </w:r>
      <w:r w:rsidR="007E477A">
        <w:t xml:space="preserve">% van de </w:t>
      </w:r>
      <w:proofErr w:type="spellStart"/>
      <w:r w:rsidR="007E477A">
        <w:t>RUP’s</w:t>
      </w:r>
      <w:proofErr w:type="spellEnd"/>
      <w:r w:rsidR="007E477A">
        <w:t xml:space="preserve"> heeft een doorlooptijd van ten hoogste 2 jaar</w:t>
      </w:r>
      <w:r>
        <w:t>; u</w:t>
      </w:r>
      <w:r w:rsidR="00DA4450">
        <w:t xml:space="preserve">itzonderlijk (= 2%) heeft een provinciaal RUP een </w:t>
      </w:r>
      <w:r>
        <w:t>langere doorlooptijd</w:t>
      </w:r>
      <w:r w:rsidR="00DA4450">
        <w:t>.</w:t>
      </w:r>
    </w:p>
    <w:p w:rsidR="00DA4450" w:rsidRDefault="00DA4450" w:rsidP="007E477A">
      <w:pPr>
        <w:pStyle w:val="StandaardSV"/>
      </w:pPr>
    </w:p>
    <w:p w:rsidR="00292287" w:rsidRDefault="00292287" w:rsidP="007E477A">
      <w:pPr>
        <w:pStyle w:val="StandaardSV"/>
      </w:pPr>
    </w:p>
    <w:p w:rsidR="001079E6" w:rsidRDefault="00D65F13" w:rsidP="001079E6">
      <w:pPr>
        <w:pStyle w:val="StandaardSV"/>
      </w:pPr>
      <w:r>
        <w:t xml:space="preserve">2c. </w:t>
      </w:r>
      <w:r w:rsidR="001079E6">
        <w:t xml:space="preserve">Overzicht van de gemiddelde doorlooptijd van de </w:t>
      </w:r>
      <w:r w:rsidR="001079E6" w:rsidRPr="00D65F13">
        <w:rPr>
          <w:u w:val="single"/>
        </w:rPr>
        <w:t xml:space="preserve">gewestelijke </w:t>
      </w:r>
      <w:proofErr w:type="spellStart"/>
      <w:r w:rsidR="001079E6" w:rsidRPr="00D65F13">
        <w:rPr>
          <w:u w:val="single"/>
        </w:rPr>
        <w:t>RUP</w:t>
      </w:r>
      <w:r>
        <w:rPr>
          <w:u w:val="single"/>
        </w:rPr>
        <w:t>’s</w:t>
      </w:r>
      <w:proofErr w:type="spellEnd"/>
      <w:r w:rsidR="001079E6">
        <w:t>.</w:t>
      </w:r>
    </w:p>
    <w:p w:rsidR="001079E6" w:rsidRDefault="001079E6" w:rsidP="001079E6">
      <w:pPr>
        <w:pStyle w:val="StandaardSV"/>
      </w:pPr>
    </w:p>
    <w:p w:rsidR="00292287" w:rsidRDefault="001079E6" w:rsidP="00292287">
      <w:pPr>
        <w:pStyle w:val="StandaardSV"/>
      </w:pPr>
      <w:r>
        <w:t>De gemiddelde doorlooptijd van e</w:t>
      </w:r>
      <w:r w:rsidR="00DA4450">
        <w:t xml:space="preserve">en gewestelijk RUP is 682 dagen. </w:t>
      </w:r>
      <w:r w:rsidR="00292287">
        <w:t>Naast deze gemiddelde doorlooptijd is het ook interessant de frequentieverdeling te tonen.</w:t>
      </w:r>
    </w:p>
    <w:p w:rsidR="001079E6" w:rsidRDefault="001079E6" w:rsidP="001079E6">
      <w:pPr>
        <w:pStyle w:val="StandaardSV"/>
      </w:pPr>
    </w:p>
    <w:p w:rsidR="001079E6" w:rsidRDefault="001079E6" w:rsidP="001079E6">
      <w:pPr>
        <w:pStyle w:val="StandaardSV"/>
      </w:pPr>
      <w:r>
        <w:t>Frequentieverdeling (in klassen van 100 dagen) van de doorlooptijd van een g</w:t>
      </w:r>
      <w:r w:rsidRPr="00D65F13">
        <w:t>ew</w:t>
      </w:r>
      <w:r>
        <w:t>estelijk RUP</w:t>
      </w:r>
      <w:r w:rsidR="00292287">
        <w:t>:</w:t>
      </w:r>
    </w:p>
    <w:p w:rsidR="001079E6" w:rsidRDefault="001079E6" w:rsidP="000A7EB5">
      <w:pPr>
        <w:pStyle w:val="StandaardSV"/>
      </w:pPr>
      <w:r>
        <w:rPr>
          <w:noProof/>
          <w:lang w:val="nl-BE" w:eastAsia="nl-BE"/>
        </w:rPr>
        <w:drawing>
          <wp:inline distT="0" distB="0" distL="0" distR="0" wp14:anchorId="08EC4A0B" wp14:editId="08EC4A0C">
            <wp:extent cx="5760720" cy="27866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B5" w:rsidRDefault="000A7EB5" w:rsidP="000A7EB5"/>
    <w:p w:rsidR="00292287" w:rsidRDefault="00292287" w:rsidP="00D65F13">
      <w:pPr>
        <w:pStyle w:val="StandaardSV"/>
      </w:pPr>
    </w:p>
    <w:p w:rsidR="001079E6" w:rsidRPr="00D65F13" w:rsidRDefault="001079E6" w:rsidP="00D65F13">
      <w:pPr>
        <w:pStyle w:val="StandaardSV"/>
      </w:pPr>
      <w:r>
        <w:t xml:space="preserve">75% van de </w:t>
      </w:r>
      <w:r w:rsidR="00292287">
        <w:t xml:space="preserve">gewestelijke </w:t>
      </w:r>
      <w:proofErr w:type="spellStart"/>
      <w:r>
        <w:t>RUP’s</w:t>
      </w:r>
      <w:proofErr w:type="spellEnd"/>
      <w:r>
        <w:t xml:space="preserve"> heeft een doorlooptijd van </w:t>
      </w:r>
      <w:r w:rsidR="00292287">
        <w:t>minder dan</w:t>
      </w:r>
      <w:r>
        <w:t xml:space="preserve"> 2 jaar. </w:t>
      </w:r>
      <w:r w:rsidR="00DA4450">
        <w:t>Uitzonderlijk (= 10%) is de doorlooptijd van een gewestelijk RUP langer dan 3 jaar.</w:t>
      </w:r>
    </w:p>
    <w:sectPr w:rsidR="001079E6" w:rsidRPr="00D65F13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97B6F"/>
    <w:multiLevelType w:val="hybridMultilevel"/>
    <w:tmpl w:val="519067E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33660"/>
    <w:multiLevelType w:val="hybridMultilevel"/>
    <w:tmpl w:val="2514B5FC"/>
    <w:lvl w:ilvl="0" w:tplc="B78C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2">
    <w:nsid w:val="78301567"/>
    <w:multiLevelType w:val="hybridMultilevel"/>
    <w:tmpl w:val="EE446F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1VKE9nNY8cHZcnWXQWGiDPzjZc=" w:salt="DwGT/QZXn+dSlWkFlwR6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5"/>
    <w:rsid w:val="00013AC3"/>
    <w:rsid w:val="0008172E"/>
    <w:rsid w:val="000976E9"/>
    <w:rsid w:val="000A7EB5"/>
    <w:rsid w:val="000C4E8C"/>
    <w:rsid w:val="000E7ADA"/>
    <w:rsid w:val="000F3532"/>
    <w:rsid w:val="001079E6"/>
    <w:rsid w:val="00174464"/>
    <w:rsid w:val="001764EC"/>
    <w:rsid w:val="00210C07"/>
    <w:rsid w:val="002437D9"/>
    <w:rsid w:val="00266E3B"/>
    <w:rsid w:val="00274839"/>
    <w:rsid w:val="00292287"/>
    <w:rsid w:val="002A650D"/>
    <w:rsid w:val="002E58E2"/>
    <w:rsid w:val="00326A58"/>
    <w:rsid w:val="00336BBF"/>
    <w:rsid w:val="00416AB5"/>
    <w:rsid w:val="00480C12"/>
    <w:rsid w:val="005208D5"/>
    <w:rsid w:val="00523DA4"/>
    <w:rsid w:val="005E38CA"/>
    <w:rsid w:val="006548DD"/>
    <w:rsid w:val="0071248C"/>
    <w:rsid w:val="007252C7"/>
    <w:rsid w:val="00735E21"/>
    <w:rsid w:val="00787964"/>
    <w:rsid w:val="007A1490"/>
    <w:rsid w:val="007E477A"/>
    <w:rsid w:val="008A713D"/>
    <w:rsid w:val="008D5DB4"/>
    <w:rsid w:val="00924D85"/>
    <w:rsid w:val="00930C23"/>
    <w:rsid w:val="009347E0"/>
    <w:rsid w:val="009D24AA"/>
    <w:rsid w:val="009D7043"/>
    <w:rsid w:val="009E0595"/>
    <w:rsid w:val="009E72BD"/>
    <w:rsid w:val="009F215C"/>
    <w:rsid w:val="00AF64E1"/>
    <w:rsid w:val="00B05086"/>
    <w:rsid w:val="00B45EB2"/>
    <w:rsid w:val="00BB7612"/>
    <w:rsid w:val="00BE425A"/>
    <w:rsid w:val="00C15BA8"/>
    <w:rsid w:val="00C62A0E"/>
    <w:rsid w:val="00CD3C2A"/>
    <w:rsid w:val="00CE1141"/>
    <w:rsid w:val="00D65F13"/>
    <w:rsid w:val="00D71D99"/>
    <w:rsid w:val="00D754F2"/>
    <w:rsid w:val="00DA4450"/>
    <w:rsid w:val="00DB41C0"/>
    <w:rsid w:val="00DC00E1"/>
    <w:rsid w:val="00DC4DB6"/>
    <w:rsid w:val="00E55200"/>
    <w:rsid w:val="00E9611E"/>
    <w:rsid w:val="00F10CD5"/>
    <w:rsid w:val="00F31EB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tandaardSV">
    <w:name w:val="Standaard SV"/>
    <w:basedOn w:val="Standaard"/>
    <w:rsid w:val="000A7EB5"/>
    <w:pPr>
      <w:jc w:val="both"/>
    </w:pPr>
    <w:rPr>
      <w:szCs w:val="20"/>
    </w:rPr>
  </w:style>
  <w:style w:type="paragraph" w:styleId="Ballontekst">
    <w:name w:val="Balloon Text"/>
    <w:basedOn w:val="Standaard"/>
    <w:link w:val="BallontekstChar"/>
    <w:rsid w:val="00C62A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2A0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tandaardSV">
    <w:name w:val="Standaard SV"/>
    <w:basedOn w:val="Standaard"/>
    <w:rsid w:val="000A7EB5"/>
    <w:pPr>
      <w:jc w:val="both"/>
    </w:pPr>
    <w:rPr>
      <w:szCs w:val="20"/>
    </w:rPr>
  </w:style>
  <w:style w:type="paragraph" w:styleId="Ballontekst">
    <w:name w:val="Balloon Text"/>
    <w:basedOn w:val="Standaard"/>
    <w:link w:val="BallontekstChar"/>
    <w:rsid w:val="00C62A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2A0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twoord op Schriftelijke Vraag" ma:contentTypeID="0x010100E5E0931E1CB83A468B4B8E7FF64947DC0061ACAC8794E1334897698FC9954A8F3B" ma:contentTypeVersion="" ma:contentTypeDescription="Antwoord op schriftelijke vraag van Philippe Muyters." ma:contentTypeScope="" ma:versionID="b617c96f34b556f48e3c4833efd7f7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48c7e54ecd3c8e4355cbb98930ff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94104-CD55-4D4A-A860-3324682D5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90ABF-ADC4-4EBA-8AC5-0F49C32B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480B7-FC52-4D9D-87A3-9487662F0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VACKERST</dc:creator>
  <cp:lastModifiedBy>Sofie Vandeweerd</cp:lastModifiedBy>
  <cp:revision>2</cp:revision>
  <cp:lastPrinted>1900-12-31T23:00:00Z</cp:lastPrinted>
  <dcterms:created xsi:type="dcterms:W3CDTF">2016-05-18T13:38:00Z</dcterms:created>
  <dcterms:modified xsi:type="dcterms:W3CDTF">2016-05-18T13:38:00Z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Muyters</vt:lpwstr>
  </property>
  <property fmtid="{D5CDD505-2E9C-101B-9397-08002B2CF9AE}" pid="3" name="ContentTypeId">
    <vt:lpwstr>0x010100E5E0931E1CB83A468B4B8E7FF64947DC0061ACAC8794E1334897698FC9954A8F3B</vt:lpwstr>
  </property>
  <property fmtid="{D5CDD505-2E9C-101B-9397-08002B2CF9AE}" pid="4" name="PVFinaalAntwoordStatus">
    <vt:lpwstr>Nagelezen door Staf</vt:lpwstr>
  </property>
  <property fmtid="{D5CDD505-2E9C-101B-9397-08002B2CF9AE}" pid="5" name="PVFinaalAntwoordDatumGoedkeuringAfdelingshoofd">
    <vt:filetime>2014-02-27T15:10:56Z</vt:filetime>
  </property>
  <property fmtid="{D5CDD505-2E9C-101B-9397-08002B2CF9AE}" pid="6" name="PVFinaalAntwoodGoedGekeurdDoorAfdelingshoofd">
    <vt:lpwstr>189</vt:lpwstr>
  </property>
  <property fmtid="{D5CDD505-2E9C-101B-9397-08002B2CF9AE}" pid="7" name="PVFinaalAntwoodGoedGekeurdDoorStaf">
    <vt:lpwstr>17</vt:lpwstr>
  </property>
  <property fmtid="{D5CDD505-2E9C-101B-9397-08002B2CF9AE}" pid="8" name="PVFinaalAntwoordDatumGoedkeuringStaf">
    <vt:filetime>2014-02-28T12:48:55Z</vt:filetime>
  </property>
</Properties>
</file>