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34D5" w14:textId="77777777" w:rsidR="000976E9" w:rsidRPr="00AE4255" w:rsidRDefault="00D77D41" w:rsidP="00AE4255">
      <w:pPr>
        <w:pStyle w:val="A-NaamMinister"/>
        <w:jc w:val="both"/>
        <w:rPr>
          <w:rFonts w:ascii="Verdana" w:hAnsi="Verdana"/>
          <w:sz w:val="20"/>
          <w:szCs w:val="20"/>
        </w:rPr>
      </w:pPr>
      <w:bookmarkStart w:id="0" w:name="_GoBack"/>
      <w:bookmarkEnd w:id="0"/>
      <w:proofErr w:type="spellStart"/>
      <w:r>
        <w:rPr>
          <w:rFonts w:ascii="Verdana" w:hAnsi="Verdana"/>
          <w:sz w:val="20"/>
          <w:szCs w:val="20"/>
        </w:rPr>
        <w:t>bart</w:t>
      </w:r>
      <w:proofErr w:type="spellEnd"/>
      <w:r>
        <w:rPr>
          <w:rFonts w:ascii="Verdana" w:hAnsi="Verdana"/>
          <w:sz w:val="20"/>
          <w:szCs w:val="20"/>
        </w:rPr>
        <w:t xml:space="preserve"> </w:t>
      </w:r>
      <w:proofErr w:type="spellStart"/>
      <w:r>
        <w:rPr>
          <w:rFonts w:ascii="Verdana" w:hAnsi="Verdana"/>
          <w:sz w:val="20"/>
          <w:szCs w:val="20"/>
        </w:rPr>
        <w:t>tommelein</w:t>
      </w:r>
      <w:proofErr w:type="spellEnd"/>
    </w:p>
    <w:p w14:paraId="438A34D6" w14:textId="77777777"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sidR="00B66D84">
        <w:rPr>
          <w:rFonts w:ascii="Verdana" w:hAnsi="Verdana"/>
          <w:sz w:val="20"/>
          <w:szCs w:val="20"/>
        </w:rPr>
        <w:t>begroting, financiën en energie</w:t>
      </w:r>
    </w:p>
    <w:p w14:paraId="438A34D7" w14:textId="77777777" w:rsidR="000976E9" w:rsidRPr="00AE4255" w:rsidRDefault="000976E9" w:rsidP="00AE4255">
      <w:pPr>
        <w:jc w:val="both"/>
        <w:rPr>
          <w:rFonts w:ascii="Verdana" w:hAnsi="Verdana"/>
          <w:sz w:val="20"/>
          <w:szCs w:val="20"/>
        </w:rPr>
      </w:pPr>
    </w:p>
    <w:p w14:paraId="438A34D8" w14:textId="77777777" w:rsidR="000976E9" w:rsidRPr="00AE4255" w:rsidRDefault="000976E9" w:rsidP="00AE4255">
      <w:pPr>
        <w:pStyle w:val="A-Lijn"/>
        <w:jc w:val="both"/>
        <w:rPr>
          <w:rFonts w:ascii="Verdana" w:hAnsi="Verdana"/>
          <w:sz w:val="20"/>
          <w:szCs w:val="20"/>
        </w:rPr>
      </w:pPr>
    </w:p>
    <w:p w14:paraId="438A34D9"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438A34DA"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14:paraId="438A34DB" w14:textId="7777777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1D7911">
        <w:rPr>
          <w:rFonts w:ascii="Verdana" w:hAnsi="Verdana"/>
          <w:b w:val="0"/>
          <w:sz w:val="20"/>
          <w:szCs w:val="20"/>
        </w:rPr>
        <w:t xml:space="preserve">140 </w:t>
      </w:r>
      <w:r w:rsidRPr="00AE4255">
        <w:rPr>
          <w:rFonts w:ascii="Verdana" w:hAnsi="Verdana"/>
          <w:b w:val="0"/>
          <w:smallCaps w:val="0"/>
          <w:sz w:val="20"/>
          <w:szCs w:val="20"/>
        </w:rPr>
        <w:t>van</w:t>
      </w:r>
      <w:r w:rsidRPr="00AE4255">
        <w:rPr>
          <w:rFonts w:ascii="Verdana" w:hAnsi="Verdana"/>
          <w:b w:val="0"/>
          <w:sz w:val="20"/>
          <w:szCs w:val="20"/>
        </w:rPr>
        <w:t xml:space="preserve"> </w:t>
      </w:r>
      <w:r w:rsidR="001D7911">
        <w:rPr>
          <w:rFonts w:ascii="Verdana" w:hAnsi="Verdana"/>
          <w:b w:val="0"/>
          <w:smallCaps w:val="0"/>
          <w:sz w:val="20"/>
          <w:szCs w:val="20"/>
        </w:rPr>
        <w:t>25</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846416">
            <w:rPr>
              <w:rFonts w:ascii="Verdana" w:hAnsi="Verdana"/>
              <w:b w:val="0"/>
              <w:smallCaps w:val="0"/>
              <w:sz w:val="20"/>
              <w:szCs w:val="20"/>
            </w:rPr>
            <w:t>januari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846416">
            <w:rPr>
              <w:rFonts w:ascii="Verdana" w:hAnsi="Verdana"/>
              <w:b w:val="0"/>
              <w:smallCaps w:val="0"/>
              <w:sz w:val="20"/>
              <w:szCs w:val="20"/>
            </w:rPr>
            <w:t>2017</w:t>
          </w:r>
        </w:sdtContent>
      </w:sdt>
    </w:p>
    <w:p w14:paraId="438A34DC"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1D7911">
        <w:rPr>
          <w:rStyle w:val="AntwoordNaamMinisterChar"/>
          <w:rFonts w:ascii="Verdana" w:hAnsi="Verdana"/>
          <w:sz w:val="20"/>
          <w:szCs w:val="20"/>
        </w:rPr>
        <w:t>lydia</w:t>
      </w:r>
      <w:proofErr w:type="spellEnd"/>
      <w:r w:rsidR="001D7911">
        <w:rPr>
          <w:rStyle w:val="AntwoordNaamMinisterChar"/>
          <w:rFonts w:ascii="Verdana" w:hAnsi="Verdana"/>
          <w:sz w:val="20"/>
          <w:szCs w:val="20"/>
        </w:rPr>
        <w:t xml:space="preserve"> </w:t>
      </w:r>
      <w:proofErr w:type="spellStart"/>
      <w:r w:rsidR="001D7911">
        <w:rPr>
          <w:rStyle w:val="AntwoordNaamMinisterChar"/>
          <w:rFonts w:ascii="Verdana" w:hAnsi="Verdana"/>
          <w:sz w:val="20"/>
          <w:szCs w:val="20"/>
        </w:rPr>
        <w:t>peeters</w:t>
      </w:r>
      <w:proofErr w:type="spellEnd"/>
    </w:p>
    <w:p w14:paraId="438A34DD" w14:textId="77777777" w:rsidR="00326A58" w:rsidRPr="00AE4255" w:rsidRDefault="00326A58" w:rsidP="00AE4255">
      <w:pPr>
        <w:jc w:val="both"/>
        <w:rPr>
          <w:rFonts w:ascii="Verdana" w:hAnsi="Verdana"/>
          <w:sz w:val="20"/>
          <w:szCs w:val="20"/>
        </w:rPr>
      </w:pPr>
    </w:p>
    <w:p w14:paraId="438A34DE" w14:textId="77777777" w:rsidR="000976E9" w:rsidRPr="00AE4255" w:rsidRDefault="000976E9" w:rsidP="00AE4255">
      <w:pPr>
        <w:pStyle w:val="A-Lijn"/>
        <w:jc w:val="both"/>
        <w:rPr>
          <w:rFonts w:ascii="Verdana" w:hAnsi="Verdana"/>
          <w:sz w:val="20"/>
          <w:szCs w:val="20"/>
        </w:rPr>
      </w:pPr>
    </w:p>
    <w:p w14:paraId="438A34DF"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438A34E0" w14:textId="77777777" w:rsidR="00AE4255" w:rsidRDefault="00AE4255" w:rsidP="00AE4255">
      <w:pPr>
        <w:jc w:val="both"/>
        <w:rPr>
          <w:rFonts w:ascii="Verdana" w:hAnsi="Verdana"/>
          <w:sz w:val="20"/>
          <w:szCs w:val="20"/>
        </w:rPr>
      </w:pPr>
    </w:p>
    <w:p w14:paraId="438A34E1" w14:textId="77777777" w:rsidR="007F59CA" w:rsidRPr="007F59CA" w:rsidRDefault="00CC0DB2" w:rsidP="001D7911">
      <w:pPr>
        <w:numPr>
          <w:ilvl w:val="0"/>
          <w:numId w:val="3"/>
        </w:numPr>
        <w:ind w:left="284" w:hanging="284"/>
        <w:jc w:val="both"/>
        <w:rPr>
          <w:rFonts w:ascii="Verdana" w:hAnsi="Verdana"/>
          <w:sz w:val="20"/>
          <w:szCs w:val="20"/>
          <w:lang w:val="nl-BE"/>
        </w:rPr>
      </w:pPr>
      <w:r w:rsidRPr="00CC0DB2">
        <w:rPr>
          <w:rFonts w:ascii="Verdana" w:hAnsi="Verdana"/>
          <w:sz w:val="20"/>
          <w:szCs w:val="20"/>
          <w:lang w:val="nl-BE"/>
        </w:rPr>
        <w:t xml:space="preserve">De opbrengsten van de </w:t>
      </w:r>
      <w:r>
        <w:rPr>
          <w:rFonts w:ascii="Verdana" w:hAnsi="Verdana"/>
          <w:sz w:val="20"/>
          <w:szCs w:val="20"/>
          <w:lang w:val="nl-BE"/>
        </w:rPr>
        <w:t>leegstands</w:t>
      </w:r>
      <w:r w:rsidRPr="00CC0DB2">
        <w:rPr>
          <w:rFonts w:ascii="Verdana" w:hAnsi="Verdana"/>
          <w:sz w:val="20"/>
          <w:szCs w:val="20"/>
          <w:lang w:val="nl-BE"/>
        </w:rPr>
        <w:t xml:space="preserve">heffing </w:t>
      </w:r>
      <w:r>
        <w:rPr>
          <w:rFonts w:ascii="Verdana" w:hAnsi="Verdana"/>
          <w:sz w:val="20"/>
          <w:szCs w:val="20"/>
          <w:lang w:val="nl-BE"/>
        </w:rPr>
        <w:t xml:space="preserve">bedrijfsruimten </w:t>
      </w:r>
      <w:r w:rsidRPr="00CC0DB2">
        <w:rPr>
          <w:rFonts w:ascii="Verdana" w:hAnsi="Verdana"/>
          <w:sz w:val="20"/>
          <w:szCs w:val="20"/>
          <w:lang w:val="nl-BE"/>
        </w:rPr>
        <w:t>komen te</w:t>
      </w:r>
      <w:r>
        <w:rPr>
          <w:rFonts w:ascii="Verdana" w:hAnsi="Verdana"/>
          <w:sz w:val="20"/>
          <w:szCs w:val="20"/>
          <w:lang w:val="nl-BE"/>
        </w:rPr>
        <w:t>recht in het Vernieuwingsfonds.</w:t>
      </w:r>
      <w:r>
        <w:rPr>
          <w:rFonts w:ascii="Verdana" w:hAnsi="Verdana"/>
          <w:sz w:val="20"/>
          <w:szCs w:val="20"/>
        </w:rPr>
        <w:t xml:space="preserve"> In onderstaande tabel wordt per kalenderjaar de begrote inkomsten voor het Vernieuwingsfonds weergegeven. De raming voor de begroting gebeurt per kalenderjaar en wordt niet opgesplitst per provincie.</w:t>
      </w:r>
    </w:p>
    <w:p w14:paraId="438A34E2" w14:textId="77777777" w:rsidR="007F59CA" w:rsidRDefault="007F59CA" w:rsidP="007F59CA">
      <w:pPr>
        <w:ind w:left="284"/>
        <w:jc w:val="both"/>
        <w:rPr>
          <w:rFonts w:ascii="Verdana" w:hAnsi="Verdana"/>
          <w:sz w:val="20"/>
          <w:szCs w:val="20"/>
          <w:lang w:val="nl-BE"/>
        </w:rPr>
      </w:pPr>
    </w:p>
    <w:tbl>
      <w:tblPr>
        <w:tblW w:w="3320" w:type="dxa"/>
        <w:tblInd w:w="417" w:type="dxa"/>
        <w:tblCellMar>
          <w:left w:w="70" w:type="dxa"/>
          <w:right w:w="70" w:type="dxa"/>
        </w:tblCellMar>
        <w:tblLook w:val="04A0" w:firstRow="1" w:lastRow="0" w:firstColumn="1" w:lastColumn="0" w:noHBand="0" w:noVBand="1"/>
      </w:tblPr>
      <w:tblGrid>
        <w:gridCol w:w="1660"/>
        <w:gridCol w:w="1660"/>
      </w:tblGrid>
      <w:tr w:rsidR="00515B2D" w:rsidRPr="00515B2D" w14:paraId="438A34E5" w14:textId="77777777" w:rsidTr="00515B2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A34E3" w14:textId="77777777" w:rsidR="00515B2D" w:rsidRPr="009C0E6D" w:rsidRDefault="00515B2D" w:rsidP="00515B2D">
            <w:pPr>
              <w:jc w:val="center"/>
              <w:rPr>
                <w:rFonts w:ascii="Calibri" w:hAnsi="Calibri"/>
                <w:b/>
                <w:bCs/>
                <w:color w:val="000000"/>
                <w:sz w:val="20"/>
                <w:szCs w:val="20"/>
                <w:lang w:val="nl-BE" w:eastAsia="nl-BE"/>
              </w:rPr>
            </w:pPr>
            <w:r w:rsidRPr="009C0E6D">
              <w:rPr>
                <w:rFonts w:ascii="Calibri" w:hAnsi="Calibri"/>
                <w:b/>
                <w:bCs/>
                <w:color w:val="000000"/>
                <w:sz w:val="20"/>
                <w:szCs w:val="20"/>
                <w:lang w:val="nl-BE" w:eastAsia="nl-BE"/>
              </w:rPr>
              <w:t>Kalenderjaar</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38A34E4" w14:textId="77777777" w:rsidR="00515B2D" w:rsidRPr="009C0E6D" w:rsidRDefault="00515B2D" w:rsidP="00515B2D">
            <w:pPr>
              <w:jc w:val="center"/>
              <w:rPr>
                <w:rFonts w:ascii="Calibri" w:hAnsi="Calibri"/>
                <w:b/>
                <w:bCs/>
                <w:color w:val="000000"/>
                <w:sz w:val="20"/>
                <w:szCs w:val="20"/>
                <w:lang w:val="nl-BE" w:eastAsia="nl-BE"/>
              </w:rPr>
            </w:pPr>
            <w:r w:rsidRPr="009C0E6D">
              <w:rPr>
                <w:rFonts w:ascii="Calibri" w:hAnsi="Calibri"/>
                <w:b/>
                <w:bCs/>
                <w:color w:val="000000"/>
                <w:sz w:val="20"/>
                <w:szCs w:val="20"/>
                <w:lang w:val="nl-BE" w:eastAsia="nl-BE"/>
              </w:rPr>
              <w:t>Begroting</w:t>
            </w:r>
          </w:p>
        </w:tc>
      </w:tr>
      <w:tr w:rsidR="00515B2D" w:rsidRPr="00515B2D" w14:paraId="438A34E8"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4E6"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2012</w:t>
            </w:r>
          </w:p>
        </w:tc>
        <w:tc>
          <w:tcPr>
            <w:tcW w:w="1660" w:type="dxa"/>
            <w:tcBorders>
              <w:top w:val="nil"/>
              <w:left w:val="nil"/>
              <w:bottom w:val="single" w:sz="4" w:space="0" w:color="auto"/>
              <w:right w:val="single" w:sz="4" w:space="0" w:color="auto"/>
            </w:tcBorders>
            <w:shd w:val="clear" w:color="auto" w:fill="auto"/>
            <w:noWrap/>
            <w:vAlign w:val="center"/>
            <w:hideMark/>
          </w:tcPr>
          <w:p w14:paraId="438A34E7"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r>
      <w:tr w:rsidR="00515B2D" w:rsidRPr="00515B2D" w14:paraId="438A34EB"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4E9"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2013</w:t>
            </w:r>
          </w:p>
        </w:tc>
        <w:tc>
          <w:tcPr>
            <w:tcW w:w="1660" w:type="dxa"/>
            <w:tcBorders>
              <w:top w:val="nil"/>
              <w:left w:val="nil"/>
              <w:bottom w:val="single" w:sz="4" w:space="0" w:color="auto"/>
              <w:right w:val="single" w:sz="4" w:space="0" w:color="auto"/>
            </w:tcBorders>
            <w:shd w:val="clear" w:color="auto" w:fill="auto"/>
            <w:noWrap/>
            <w:vAlign w:val="center"/>
            <w:hideMark/>
          </w:tcPr>
          <w:p w14:paraId="438A34EA"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r>
      <w:tr w:rsidR="00515B2D" w:rsidRPr="00515B2D" w14:paraId="438A34EE"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4EC"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2014</w:t>
            </w:r>
          </w:p>
        </w:tc>
        <w:tc>
          <w:tcPr>
            <w:tcW w:w="1660" w:type="dxa"/>
            <w:tcBorders>
              <w:top w:val="nil"/>
              <w:left w:val="nil"/>
              <w:bottom w:val="single" w:sz="4" w:space="0" w:color="auto"/>
              <w:right w:val="single" w:sz="4" w:space="0" w:color="auto"/>
            </w:tcBorders>
            <w:shd w:val="clear" w:color="auto" w:fill="auto"/>
            <w:noWrap/>
            <w:vAlign w:val="center"/>
            <w:hideMark/>
          </w:tcPr>
          <w:p w14:paraId="438A34ED"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r>
      <w:tr w:rsidR="00515B2D" w:rsidRPr="00515B2D" w14:paraId="438A34F1"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4EF"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2015</w:t>
            </w:r>
          </w:p>
        </w:tc>
        <w:tc>
          <w:tcPr>
            <w:tcW w:w="1660" w:type="dxa"/>
            <w:tcBorders>
              <w:top w:val="nil"/>
              <w:left w:val="nil"/>
              <w:bottom w:val="single" w:sz="4" w:space="0" w:color="auto"/>
              <w:right w:val="single" w:sz="4" w:space="0" w:color="auto"/>
            </w:tcBorders>
            <w:shd w:val="clear" w:color="auto" w:fill="auto"/>
            <w:noWrap/>
            <w:vAlign w:val="center"/>
            <w:hideMark/>
          </w:tcPr>
          <w:p w14:paraId="438A34F0"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€ 8.000.000,00</w:t>
            </w:r>
          </w:p>
        </w:tc>
      </w:tr>
      <w:tr w:rsidR="00515B2D" w:rsidRPr="00515B2D" w14:paraId="438A34F4"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4F2"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2016</w:t>
            </w:r>
          </w:p>
        </w:tc>
        <w:tc>
          <w:tcPr>
            <w:tcW w:w="1660" w:type="dxa"/>
            <w:tcBorders>
              <w:top w:val="nil"/>
              <w:left w:val="nil"/>
              <w:bottom w:val="single" w:sz="4" w:space="0" w:color="auto"/>
              <w:right w:val="single" w:sz="4" w:space="0" w:color="auto"/>
            </w:tcBorders>
            <w:shd w:val="clear" w:color="auto" w:fill="auto"/>
            <w:noWrap/>
            <w:vAlign w:val="center"/>
            <w:hideMark/>
          </w:tcPr>
          <w:p w14:paraId="438A34F3" w14:textId="77777777" w:rsidR="00515B2D" w:rsidRPr="009C0E6D" w:rsidRDefault="00515B2D"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r>
    </w:tbl>
    <w:p w14:paraId="438A34F5" w14:textId="77777777" w:rsidR="00515B2D" w:rsidRPr="007F59CA" w:rsidRDefault="00515B2D" w:rsidP="00A12877">
      <w:pPr>
        <w:jc w:val="both"/>
        <w:rPr>
          <w:rFonts w:ascii="Verdana" w:hAnsi="Verdana"/>
          <w:sz w:val="20"/>
          <w:szCs w:val="20"/>
          <w:lang w:val="nl-BE"/>
        </w:rPr>
      </w:pPr>
    </w:p>
    <w:p w14:paraId="438A34F6" w14:textId="089AE273" w:rsidR="001D7911" w:rsidRDefault="00515B2D" w:rsidP="009B0196">
      <w:pPr>
        <w:numPr>
          <w:ilvl w:val="0"/>
          <w:numId w:val="3"/>
        </w:numPr>
        <w:ind w:left="284" w:hanging="284"/>
        <w:jc w:val="both"/>
        <w:rPr>
          <w:rFonts w:ascii="Verdana" w:hAnsi="Verdana"/>
          <w:sz w:val="20"/>
          <w:szCs w:val="20"/>
          <w:lang w:val="nl-BE"/>
        </w:rPr>
      </w:pPr>
      <w:r>
        <w:rPr>
          <w:rFonts w:ascii="Verdana" w:hAnsi="Verdana"/>
          <w:sz w:val="20"/>
          <w:szCs w:val="20"/>
        </w:rPr>
        <w:t xml:space="preserve">In onderstaande tabel wordt </w:t>
      </w:r>
      <w:r w:rsidR="001D7911" w:rsidRPr="001D7911">
        <w:rPr>
          <w:rFonts w:ascii="Verdana" w:hAnsi="Verdana"/>
          <w:sz w:val="20"/>
          <w:szCs w:val="20"/>
        </w:rPr>
        <w:t xml:space="preserve">de </w:t>
      </w:r>
      <w:r>
        <w:rPr>
          <w:rFonts w:ascii="Verdana" w:hAnsi="Verdana"/>
          <w:sz w:val="20"/>
          <w:szCs w:val="20"/>
        </w:rPr>
        <w:t xml:space="preserve">voor het Vernieuwingsfonds </w:t>
      </w:r>
      <w:r w:rsidR="001D7911" w:rsidRPr="001D7911">
        <w:rPr>
          <w:rFonts w:ascii="Verdana" w:hAnsi="Verdana"/>
          <w:sz w:val="20"/>
          <w:szCs w:val="20"/>
        </w:rPr>
        <w:t>geïnde leegstandsheffing bedrijfsruimten</w:t>
      </w:r>
      <w:r w:rsidR="00DD12A7">
        <w:rPr>
          <w:rFonts w:ascii="Verdana" w:hAnsi="Verdana"/>
          <w:sz w:val="20"/>
          <w:szCs w:val="20"/>
        </w:rPr>
        <w:t xml:space="preserve"> (incl. intresten en kosten)</w:t>
      </w:r>
      <w:r>
        <w:rPr>
          <w:rFonts w:ascii="Verdana" w:hAnsi="Verdana"/>
          <w:sz w:val="20"/>
          <w:szCs w:val="20"/>
        </w:rPr>
        <w:t xml:space="preserve"> weergegeven</w:t>
      </w:r>
      <w:r w:rsidR="001D7911" w:rsidRPr="001D7911">
        <w:rPr>
          <w:rFonts w:ascii="Verdana" w:hAnsi="Verdana"/>
          <w:sz w:val="20"/>
          <w:szCs w:val="20"/>
        </w:rPr>
        <w:t>, opgesplitst per kalenderjaar en per provincie.</w:t>
      </w:r>
      <w:r w:rsidR="001D7911" w:rsidRPr="001D7911">
        <w:rPr>
          <w:color w:val="1F497D"/>
        </w:rPr>
        <w:t xml:space="preserve"> </w:t>
      </w:r>
      <w:r w:rsidR="00DD12A7">
        <w:rPr>
          <w:rFonts w:ascii="Verdana" w:hAnsi="Verdana"/>
          <w:sz w:val="20"/>
          <w:szCs w:val="20"/>
        </w:rPr>
        <w:t>Het</w:t>
      </w:r>
      <w:r w:rsidR="00DD12A7" w:rsidRPr="00DD12A7">
        <w:rPr>
          <w:rFonts w:ascii="Verdana" w:hAnsi="Verdana"/>
          <w:sz w:val="20"/>
          <w:szCs w:val="20"/>
        </w:rPr>
        <w:t xml:space="preserve"> </w:t>
      </w:r>
      <w:r w:rsidR="00DD12A7">
        <w:rPr>
          <w:rFonts w:ascii="Verdana" w:hAnsi="Verdana"/>
          <w:sz w:val="20"/>
          <w:szCs w:val="20"/>
        </w:rPr>
        <w:t>betreffen</w:t>
      </w:r>
      <w:r w:rsidR="00DD12A7" w:rsidRPr="00DD12A7">
        <w:rPr>
          <w:rFonts w:ascii="Verdana" w:hAnsi="Verdana"/>
          <w:sz w:val="20"/>
          <w:szCs w:val="20"/>
        </w:rPr>
        <w:t xml:space="preserve"> de</w:t>
      </w:r>
      <w:r w:rsidR="00DD12A7">
        <w:rPr>
          <w:rFonts w:ascii="Verdana" w:hAnsi="Verdana"/>
          <w:sz w:val="20"/>
          <w:szCs w:val="20"/>
        </w:rPr>
        <w:t xml:space="preserve"> effectief geïnde bedragen </w:t>
      </w:r>
      <w:r w:rsidR="00DD12A7" w:rsidRPr="00DD12A7">
        <w:rPr>
          <w:rFonts w:ascii="Verdana" w:hAnsi="Verdana"/>
          <w:sz w:val="20"/>
          <w:szCs w:val="20"/>
        </w:rPr>
        <w:t xml:space="preserve">die </w:t>
      </w:r>
      <w:r w:rsidR="001366D3">
        <w:rPr>
          <w:rFonts w:ascii="Verdana" w:hAnsi="Verdana"/>
          <w:sz w:val="20"/>
          <w:szCs w:val="20"/>
        </w:rPr>
        <w:t>in het betrokken jaar zijn ontvangen.</w:t>
      </w:r>
    </w:p>
    <w:p w14:paraId="438A34F7" w14:textId="77777777" w:rsidR="00A12877" w:rsidRDefault="00A12877" w:rsidP="00A12877">
      <w:pPr>
        <w:ind w:left="284"/>
        <w:jc w:val="both"/>
        <w:rPr>
          <w:rFonts w:ascii="Verdana" w:hAnsi="Verdana"/>
          <w:sz w:val="20"/>
          <w:szCs w:val="20"/>
          <w:lang w:val="nl-BE"/>
        </w:rPr>
      </w:pPr>
    </w:p>
    <w:p w14:paraId="438A34F8" w14:textId="77777777" w:rsidR="00515B2D" w:rsidRDefault="00515B2D" w:rsidP="00A12877">
      <w:pPr>
        <w:ind w:left="284"/>
        <w:jc w:val="both"/>
        <w:rPr>
          <w:rFonts w:ascii="Verdana" w:hAnsi="Verdana"/>
          <w:sz w:val="20"/>
          <w:szCs w:val="20"/>
          <w:lang w:val="nl-BE"/>
        </w:rPr>
      </w:pPr>
      <w:r w:rsidRPr="00515B2D">
        <w:rPr>
          <w:noProof/>
          <w:lang w:val="nl-BE" w:eastAsia="nl-BE"/>
        </w:rPr>
        <w:drawing>
          <wp:inline distT="0" distB="0" distL="0" distR="0" wp14:anchorId="438A3600" wp14:editId="438A3601">
            <wp:extent cx="5760720" cy="10570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57004"/>
                    </a:xfrm>
                    <a:prstGeom prst="rect">
                      <a:avLst/>
                    </a:prstGeom>
                    <a:noFill/>
                    <a:ln>
                      <a:noFill/>
                    </a:ln>
                  </pic:spPr>
                </pic:pic>
              </a:graphicData>
            </a:graphic>
          </wp:inline>
        </w:drawing>
      </w:r>
    </w:p>
    <w:p w14:paraId="438A34F9" w14:textId="77777777" w:rsidR="00515B2D" w:rsidRDefault="00515B2D" w:rsidP="00755A09">
      <w:pPr>
        <w:jc w:val="both"/>
        <w:rPr>
          <w:rFonts w:ascii="Verdana" w:hAnsi="Verdana"/>
          <w:sz w:val="20"/>
          <w:szCs w:val="20"/>
          <w:lang w:val="nl-BE"/>
        </w:rPr>
      </w:pPr>
    </w:p>
    <w:p w14:paraId="438A34FA" w14:textId="77777777" w:rsidR="00515B2D" w:rsidRDefault="00515B2D" w:rsidP="00515B2D">
      <w:pPr>
        <w:ind w:left="284"/>
        <w:jc w:val="both"/>
        <w:rPr>
          <w:rFonts w:ascii="Verdana" w:hAnsi="Verdana"/>
          <w:sz w:val="20"/>
          <w:szCs w:val="20"/>
          <w:lang w:val="nl-BE"/>
        </w:rPr>
      </w:pPr>
      <w:r>
        <w:rPr>
          <w:rFonts w:ascii="Verdana" w:hAnsi="Verdana"/>
          <w:sz w:val="20"/>
          <w:szCs w:val="20"/>
          <w:lang w:val="nl-BE"/>
        </w:rPr>
        <w:t>In onderstaande tabel wordt de procentuele verhouding tussen de begrote en de geïnde heffing weergegeven.</w:t>
      </w:r>
    </w:p>
    <w:p w14:paraId="438A34FB" w14:textId="77777777" w:rsidR="00515B2D" w:rsidRDefault="00515B2D" w:rsidP="008D2E7F">
      <w:pPr>
        <w:jc w:val="both"/>
        <w:rPr>
          <w:rFonts w:ascii="Verdana" w:hAnsi="Verdana"/>
          <w:sz w:val="20"/>
          <w:szCs w:val="20"/>
          <w:lang w:val="nl-BE"/>
        </w:rPr>
      </w:pPr>
    </w:p>
    <w:tbl>
      <w:tblPr>
        <w:tblW w:w="6640" w:type="dxa"/>
        <w:tblInd w:w="402" w:type="dxa"/>
        <w:tblCellMar>
          <w:left w:w="70" w:type="dxa"/>
          <w:right w:w="70" w:type="dxa"/>
        </w:tblCellMar>
        <w:tblLook w:val="04A0" w:firstRow="1" w:lastRow="0" w:firstColumn="1" w:lastColumn="0" w:noHBand="0" w:noVBand="1"/>
      </w:tblPr>
      <w:tblGrid>
        <w:gridCol w:w="1660"/>
        <w:gridCol w:w="1660"/>
        <w:gridCol w:w="1660"/>
        <w:gridCol w:w="1660"/>
      </w:tblGrid>
      <w:tr w:rsidR="00515B2D" w:rsidRPr="00515B2D" w14:paraId="438A3500" w14:textId="77777777" w:rsidTr="00515B2D">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A34FC" w14:textId="77777777" w:rsidR="00515B2D" w:rsidRPr="009C0E6D" w:rsidRDefault="00515B2D" w:rsidP="00515B2D">
            <w:pPr>
              <w:jc w:val="center"/>
              <w:rPr>
                <w:rFonts w:ascii="Calibri" w:hAnsi="Calibri"/>
                <w:b/>
                <w:bCs/>
                <w:color w:val="000000"/>
                <w:sz w:val="20"/>
                <w:szCs w:val="20"/>
                <w:lang w:val="nl-BE" w:eastAsia="nl-BE"/>
              </w:rPr>
            </w:pPr>
            <w:r w:rsidRPr="009C0E6D">
              <w:rPr>
                <w:rFonts w:ascii="Calibri" w:hAnsi="Calibri"/>
                <w:b/>
                <w:bCs/>
                <w:color w:val="000000"/>
                <w:sz w:val="20"/>
                <w:szCs w:val="20"/>
                <w:lang w:val="nl-BE" w:eastAsia="nl-BE"/>
              </w:rPr>
              <w:t>Kalenderjaar</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38A34FD" w14:textId="77777777" w:rsidR="00515B2D" w:rsidRPr="009C0E6D" w:rsidRDefault="00515B2D" w:rsidP="00515B2D">
            <w:pPr>
              <w:jc w:val="center"/>
              <w:rPr>
                <w:rFonts w:ascii="Calibri" w:hAnsi="Calibri"/>
                <w:b/>
                <w:bCs/>
                <w:color w:val="000000"/>
                <w:sz w:val="20"/>
                <w:szCs w:val="20"/>
                <w:lang w:val="nl-BE" w:eastAsia="nl-BE"/>
              </w:rPr>
            </w:pPr>
            <w:r w:rsidRPr="009C0E6D">
              <w:rPr>
                <w:rFonts w:ascii="Calibri" w:hAnsi="Calibri"/>
                <w:b/>
                <w:bCs/>
                <w:color w:val="000000"/>
                <w:sz w:val="20"/>
                <w:szCs w:val="20"/>
                <w:lang w:val="nl-BE" w:eastAsia="nl-BE"/>
              </w:rPr>
              <w:t>Begroting</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38A34FE" w14:textId="77777777" w:rsidR="00515B2D" w:rsidRPr="009C0E6D" w:rsidRDefault="00515B2D" w:rsidP="00515B2D">
            <w:pPr>
              <w:jc w:val="center"/>
              <w:rPr>
                <w:rFonts w:ascii="Calibri" w:hAnsi="Calibri"/>
                <w:b/>
                <w:bCs/>
                <w:color w:val="000000"/>
                <w:sz w:val="20"/>
                <w:szCs w:val="20"/>
                <w:lang w:val="nl-BE" w:eastAsia="nl-BE"/>
              </w:rPr>
            </w:pPr>
            <w:r w:rsidRPr="009C0E6D">
              <w:rPr>
                <w:rFonts w:ascii="Calibri" w:hAnsi="Calibri"/>
                <w:b/>
                <w:bCs/>
                <w:color w:val="000000"/>
                <w:sz w:val="20"/>
                <w:szCs w:val="20"/>
                <w:lang w:val="nl-BE" w:eastAsia="nl-BE"/>
              </w:rPr>
              <w:t>Geïnd</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38A34FF" w14:textId="77777777" w:rsidR="00515B2D" w:rsidRPr="009C0E6D" w:rsidRDefault="00515B2D" w:rsidP="00515B2D">
            <w:pPr>
              <w:jc w:val="center"/>
              <w:rPr>
                <w:rFonts w:ascii="Calibri" w:hAnsi="Calibri"/>
                <w:b/>
                <w:bCs/>
                <w:color w:val="000000"/>
                <w:sz w:val="20"/>
                <w:szCs w:val="20"/>
                <w:lang w:val="nl-BE" w:eastAsia="nl-BE"/>
              </w:rPr>
            </w:pPr>
            <w:r w:rsidRPr="009C0E6D">
              <w:rPr>
                <w:rFonts w:ascii="Calibri" w:hAnsi="Calibri"/>
                <w:b/>
                <w:bCs/>
                <w:color w:val="000000"/>
                <w:sz w:val="20"/>
                <w:szCs w:val="20"/>
                <w:lang w:val="nl-BE" w:eastAsia="nl-BE"/>
              </w:rPr>
              <w:t>Procentuele verhouding</w:t>
            </w:r>
          </w:p>
        </w:tc>
      </w:tr>
      <w:tr w:rsidR="008D2E7F" w:rsidRPr="00515B2D" w14:paraId="438A3505"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501" w14:textId="77777777" w:rsidR="008D2E7F" w:rsidRPr="009C0E6D" w:rsidRDefault="008D2E7F" w:rsidP="00515B2D">
            <w:pPr>
              <w:jc w:val="center"/>
              <w:rPr>
                <w:rFonts w:ascii="Calibri" w:hAnsi="Calibri"/>
                <w:color w:val="000000"/>
                <w:sz w:val="20"/>
                <w:szCs w:val="20"/>
                <w:lang w:val="nl-BE" w:eastAsia="nl-BE"/>
              </w:rPr>
            </w:pPr>
            <w:r w:rsidRPr="009C0E6D">
              <w:rPr>
                <w:rFonts w:ascii="Calibri" w:hAnsi="Calibri"/>
                <w:color w:val="000000"/>
                <w:sz w:val="20"/>
                <w:szCs w:val="20"/>
                <w:lang w:val="nl-BE" w:eastAsia="nl-BE"/>
              </w:rPr>
              <w:t>2012</w:t>
            </w:r>
          </w:p>
        </w:tc>
        <w:tc>
          <w:tcPr>
            <w:tcW w:w="1660" w:type="dxa"/>
            <w:tcBorders>
              <w:top w:val="nil"/>
              <w:left w:val="nil"/>
              <w:bottom w:val="single" w:sz="4" w:space="0" w:color="auto"/>
              <w:right w:val="single" w:sz="4" w:space="0" w:color="auto"/>
            </w:tcBorders>
            <w:shd w:val="clear" w:color="auto" w:fill="auto"/>
            <w:noWrap/>
            <w:vAlign w:val="center"/>
            <w:hideMark/>
          </w:tcPr>
          <w:p w14:paraId="438A3502"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c>
          <w:tcPr>
            <w:tcW w:w="1660" w:type="dxa"/>
            <w:tcBorders>
              <w:top w:val="nil"/>
              <w:left w:val="nil"/>
              <w:bottom w:val="single" w:sz="4" w:space="0" w:color="auto"/>
              <w:right w:val="single" w:sz="4" w:space="0" w:color="auto"/>
            </w:tcBorders>
            <w:shd w:val="clear" w:color="auto" w:fill="auto"/>
            <w:noWrap/>
            <w:vAlign w:val="center"/>
            <w:hideMark/>
          </w:tcPr>
          <w:p w14:paraId="438A3503"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€ 7.025.776,19</w:t>
            </w:r>
          </w:p>
        </w:tc>
        <w:tc>
          <w:tcPr>
            <w:tcW w:w="1660" w:type="dxa"/>
            <w:tcBorders>
              <w:top w:val="nil"/>
              <w:left w:val="nil"/>
              <w:bottom w:val="single" w:sz="4" w:space="0" w:color="auto"/>
              <w:right w:val="single" w:sz="4" w:space="0" w:color="auto"/>
            </w:tcBorders>
            <w:shd w:val="clear" w:color="auto" w:fill="auto"/>
            <w:noWrap/>
            <w:vAlign w:val="bottom"/>
            <w:hideMark/>
          </w:tcPr>
          <w:p w14:paraId="438A3504" w14:textId="77777777" w:rsidR="008D2E7F" w:rsidRPr="009C0E6D" w:rsidRDefault="008D2E7F">
            <w:pPr>
              <w:jc w:val="right"/>
              <w:rPr>
                <w:rFonts w:ascii="Calibri" w:hAnsi="Calibri"/>
                <w:color w:val="000000"/>
                <w:sz w:val="20"/>
                <w:szCs w:val="20"/>
              </w:rPr>
            </w:pPr>
            <w:r w:rsidRPr="009C0E6D">
              <w:rPr>
                <w:rFonts w:ascii="Calibri" w:hAnsi="Calibri"/>
                <w:color w:val="000000"/>
                <w:sz w:val="20"/>
                <w:szCs w:val="20"/>
              </w:rPr>
              <w:t>141%</w:t>
            </w:r>
          </w:p>
        </w:tc>
      </w:tr>
      <w:tr w:rsidR="008D2E7F" w:rsidRPr="00515B2D" w14:paraId="438A350A"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506" w14:textId="77777777" w:rsidR="008D2E7F" w:rsidRPr="009C0E6D" w:rsidRDefault="008D2E7F" w:rsidP="00515B2D">
            <w:pPr>
              <w:jc w:val="center"/>
              <w:rPr>
                <w:rFonts w:ascii="Calibri" w:hAnsi="Calibri"/>
                <w:color w:val="000000"/>
                <w:sz w:val="20"/>
                <w:szCs w:val="20"/>
                <w:lang w:val="nl-BE" w:eastAsia="nl-BE"/>
              </w:rPr>
            </w:pPr>
            <w:r w:rsidRPr="009C0E6D">
              <w:rPr>
                <w:rFonts w:ascii="Calibri" w:hAnsi="Calibri"/>
                <w:color w:val="000000"/>
                <w:sz w:val="20"/>
                <w:szCs w:val="20"/>
                <w:lang w:val="nl-BE" w:eastAsia="nl-BE"/>
              </w:rPr>
              <w:t>2013</w:t>
            </w:r>
          </w:p>
        </w:tc>
        <w:tc>
          <w:tcPr>
            <w:tcW w:w="1660" w:type="dxa"/>
            <w:tcBorders>
              <w:top w:val="nil"/>
              <w:left w:val="nil"/>
              <w:bottom w:val="single" w:sz="4" w:space="0" w:color="auto"/>
              <w:right w:val="single" w:sz="4" w:space="0" w:color="auto"/>
            </w:tcBorders>
            <w:shd w:val="clear" w:color="auto" w:fill="auto"/>
            <w:noWrap/>
            <w:vAlign w:val="center"/>
            <w:hideMark/>
          </w:tcPr>
          <w:p w14:paraId="438A3507"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c>
          <w:tcPr>
            <w:tcW w:w="1660" w:type="dxa"/>
            <w:tcBorders>
              <w:top w:val="nil"/>
              <w:left w:val="nil"/>
              <w:bottom w:val="single" w:sz="4" w:space="0" w:color="auto"/>
              <w:right w:val="single" w:sz="4" w:space="0" w:color="auto"/>
            </w:tcBorders>
            <w:shd w:val="clear" w:color="auto" w:fill="auto"/>
            <w:noWrap/>
            <w:vAlign w:val="center"/>
            <w:hideMark/>
          </w:tcPr>
          <w:p w14:paraId="438A3508"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€ 9.125.329,91</w:t>
            </w:r>
          </w:p>
        </w:tc>
        <w:tc>
          <w:tcPr>
            <w:tcW w:w="1660" w:type="dxa"/>
            <w:tcBorders>
              <w:top w:val="nil"/>
              <w:left w:val="nil"/>
              <w:bottom w:val="single" w:sz="4" w:space="0" w:color="auto"/>
              <w:right w:val="single" w:sz="4" w:space="0" w:color="auto"/>
            </w:tcBorders>
            <w:shd w:val="clear" w:color="auto" w:fill="auto"/>
            <w:noWrap/>
            <w:vAlign w:val="bottom"/>
            <w:hideMark/>
          </w:tcPr>
          <w:p w14:paraId="438A3509" w14:textId="77777777" w:rsidR="008D2E7F" w:rsidRPr="009C0E6D" w:rsidRDefault="008D2E7F">
            <w:pPr>
              <w:jc w:val="right"/>
              <w:rPr>
                <w:rFonts w:ascii="Calibri" w:hAnsi="Calibri"/>
                <w:color w:val="000000"/>
                <w:sz w:val="20"/>
                <w:szCs w:val="20"/>
              </w:rPr>
            </w:pPr>
            <w:r w:rsidRPr="009C0E6D">
              <w:rPr>
                <w:rFonts w:ascii="Calibri" w:hAnsi="Calibri"/>
                <w:color w:val="000000"/>
                <w:sz w:val="20"/>
                <w:szCs w:val="20"/>
              </w:rPr>
              <w:t>183%</w:t>
            </w:r>
          </w:p>
        </w:tc>
      </w:tr>
      <w:tr w:rsidR="008D2E7F" w:rsidRPr="00515B2D" w14:paraId="438A350F"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50B" w14:textId="77777777" w:rsidR="008D2E7F" w:rsidRPr="009C0E6D" w:rsidRDefault="008D2E7F" w:rsidP="00515B2D">
            <w:pPr>
              <w:jc w:val="center"/>
              <w:rPr>
                <w:rFonts w:ascii="Calibri" w:hAnsi="Calibri"/>
                <w:color w:val="000000"/>
                <w:sz w:val="20"/>
                <w:szCs w:val="20"/>
                <w:lang w:val="nl-BE" w:eastAsia="nl-BE"/>
              </w:rPr>
            </w:pPr>
            <w:r w:rsidRPr="009C0E6D">
              <w:rPr>
                <w:rFonts w:ascii="Calibri" w:hAnsi="Calibri"/>
                <w:color w:val="000000"/>
                <w:sz w:val="20"/>
                <w:szCs w:val="20"/>
                <w:lang w:val="nl-BE" w:eastAsia="nl-BE"/>
              </w:rPr>
              <w:t>2014</w:t>
            </w:r>
          </w:p>
        </w:tc>
        <w:tc>
          <w:tcPr>
            <w:tcW w:w="1660" w:type="dxa"/>
            <w:tcBorders>
              <w:top w:val="nil"/>
              <w:left w:val="nil"/>
              <w:bottom w:val="single" w:sz="4" w:space="0" w:color="auto"/>
              <w:right w:val="single" w:sz="4" w:space="0" w:color="auto"/>
            </w:tcBorders>
            <w:shd w:val="clear" w:color="auto" w:fill="auto"/>
            <w:noWrap/>
            <w:vAlign w:val="center"/>
            <w:hideMark/>
          </w:tcPr>
          <w:p w14:paraId="438A350C"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c>
          <w:tcPr>
            <w:tcW w:w="1660" w:type="dxa"/>
            <w:tcBorders>
              <w:top w:val="nil"/>
              <w:left w:val="nil"/>
              <w:bottom w:val="single" w:sz="4" w:space="0" w:color="auto"/>
              <w:right w:val="single" w:sz="4" w:space="0" w:color="auto"/>
            </w:tcBorders>
            <w:shd w:val="clear" w:color="auto" w:fill="auto"/>
            <w:noWrap/>
            <w:vAlign w:val="center"/>
            <w:hideMark/>
          </w:tcPr>
          <w:p w14:paraId="438A350D"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€ 6.067.414,50</w:t>
            </w:r>
          </w:p>
        </w:tc>
        <w:tc>
          <w:tcPr>
            <w:tcW w:w="1660" w:type="dxa"/>
            <w:tcBorders>
              <w:top w:val="nil"/>
              <w:left w:val="nil"/>
              <w:bottom w:val="single" w:sz="4" w:space="0" w:color="auto"/>
              <w:right w:val="single" w:sz="4" w:space="0" w:color="auto"/>
            </w:tcBorders>
            <w:shd w:val="clear" w:color="auto" w:fill="auto"/>
            <w:noWrap/>
            <w:vAlign w:val="bottom"/>
            <w:hideMark/>
          </w:tcPr>
          <w:p w14:paraId="438A350E" w14:textId="77777777" w:rsidR="008D2E7F" w:rsidRPr="009C0E6D" w:rsidRDefault="008D2E7F">
            <w:pPr>
              <w:jc w:val="right"/>
              <w:rPr>
                <w:rFonts w:ascii="Calibri" w:hAnsi="Calibri"/>
                <w:color w:val="000000"/>
                <w:sz w:val="20"/>
                <w:szCs w:val="20"/>
              </w:rPr>
            </w:pPr>
            <w:r w:rsidRPr="009C0E6D">
              <w:rPr>
                <w:rFonts w:ascii="Calibri" w:hAnsi="Calibri"/>
                <w:color w:val="000000"/>
                <w:sz w:val="20"/>
                <w:szCs w:val="20"/>
              </w:rPr>
              <w:t>121%</w:t>
            </w:r>
          </w:p>
        </w:tc>
      </w:tr>
      <w:tr w:rsidR="008D2E7F" w:rsidRPr="00515B2D" w14:paraId="438A3514"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510" w14:textId="77777777" w:rsidR="008D2E7F" w:rsidRPr="00B6071A" w:rsidRDefault="008D2E7F" w:rsidP="00515B2D">
            <w:pPr>
              <w:jc w:val="center"/>
              <w:rPr>
                <w:rFonts w:ascii="Calibri" w:hAnsi="Calibri"/>
                <w:color w:val="000000"/>
                <w:sz w:val="20"/>
                <w:szCs w:val="20"/>
                <w:lang w:val="nl-BE" w:eastAsia="nl-BE"/>
              </w:rPr>
            </w:pPr>
            <w:r w:rsidRPr="00B6071A">
              <w:rPr>
                <w:rFonts w:ascii="Calibri" w:hAnsi="Calibri"/>
                <w:color w:val="000000"/>
                <w:sz w:val="20"/>
                <w:szCs w:val="20"/>
                <w:lang w:val="nl-BE" w:eastAsia="nl-BE"/>
              </w:rPr>
              <w:t>2015</w:t>
            </w:r>
          </w:p>
        </w:tc>
        <w:tc>
          <w:tcPr>
            <w:tcW w:w="1660" w:type="dxa"/>
            <w:tcBorders>
              <w:top w:val="nil"/>
              <w:left w:val="nil"/>
              <w:bottom w:val="single" w:sz="4" w:space="0" w:color="auto"/>
              <w:right w:val="single" w:sz="4" w:space="0" w:color="auto"/>
            </w:tcBorders>
            <w:shd w:val="clear" w:color="auto" w:fill="auto"/>
            <w:noWrap/>
            <w:vAlign w:val="center"/>
            <w:hideMark/>
          </w:tcPr>
          <w:p w14:paraId="438A3511" w14:textId="77777777" w:rsidR="008D2E7F" w:rsidRPr="00B6071A" w:rsidRDefault="008D2E7F" w:rsidP="00515B2D">
            <w:pPr>
              <w:jc w:val="right"/>
              <w:rPr>
                <w:rFonts w:ascii="Calibri" w:hAnsi="Calibri"/>
                <w:color w:val="000000"/>
                <w:sz w:val="20"/>
                <w:szCs w:val="20"/>
                <w:lang w:val="nl-BE" w:eastAsia="nl-BE"/>
              </w:rPr>
            </w:pPr>
            <w:r w:rsidRPr="00B6071A">
              <w:rPr>
                <w:rFonts w:ascii="Calibri" w:hAnsi="Calibri"/>
                <w:color w:val="000000"/>
                <w:sz w:val="20"/>
                <w:szCs w:val="20"/>
                <w:lang w:val="nl-BE" w:eastAsia="nl-BE"/>
              </w:rPr>
              <w:t>€ 8.000.000,00</w:t>
            </w:r>
          </w:p>
        </w:tc>
        <w:tc>
          <w:tcPr>
            <w:tcW w:w="1660" w:type="dxa"/>
            <w:tcBorders>
              <w:top w:val="nil"/>
              <w:left w:val="nil"/>
              <w:bottom w:val="single" w:sz="4" w:space="0" w:color="auto"/>
              <w:right w:val="single" w:sz="4" w:space="0" w:color="auto"/>
            </w:tcBorders>
            <w:shd w:val="clear" w:color="auto" w:fill="auto"/>
            <w:noWrap/>
            <w:vAlign w:val="center"/>
            <w:hideMark/>
          </w:tcPr>
          <w:p w14:paraId="438A3512" w14:textId="77777777" w:rsidR="008D2E7F" w:rsidRPr="00B6071A" w:rsidRDefault="008D2E7F" w:rsidP="00515B2D">
            <w:pPr>
              <w:jc w:val="right"/>
              <w:rPr>
                <w:rFonts w:ascii="Calibri" w:hAnsi="Calibri"/>
                <w:color w:val="000000"/>
                <w:sz w:val="20"/>
                <w:szCs w:val="20"/>
                <w:lang w:val="nl-BE" w:eastAsia="nl-BE"/>
              </w:rPr>
            </w:pPr>
            <w:r w:rsidRPr="00B6071A">
              <w:rPr>
                <w:rFonts w:ascii="Calibri" w:hAnsi="Calibri"/>
                <w:color w:val="000000"/>
                <w:sz w:val="20"/>
                <w:szCs w:val="20"/>
                <w:lang w:val="nl-BE" w:eastAsia="nl-BE"/>
              </w:rPr>
              <w:t>€ 3.524.274,86</w:t>
            </w:r>
          </w:p>
        </w:tc>
        <w:tc>
          <w:tcPr>
            <w:tcW w:w="1660" w:type="dxa"/>
            <w:tcBorders>
              <w:top w:val="nil"/>
              <w:left w:val="nil"/>
              <w:bottom w:val="single" w:sz="4" w:space="0" w:color="auto"/>
              <w:right w:val="single" w:sz="4" w:space="0" w:color="auto"/>
            </w:tcBorders>
            <w:shd w:val="clear" w:color="auto" w:fill="auto"/>
            <w:noWrap/>
            <w:vAlign w:val="bottom"/>
            <w:hideMark/>
          </w:tcPr>
          <w:p w14:paraId="438A3513" w14:textId="77777777" w:rsidR="008D2E7F" w:rsidRPr="00B6071A" w:rsidRDefault="008D2E7F">
            <w:pPr>
              <w:jc w:val="right"/>
              <w:rPr>
                <w:rFonts w:ascii="Calibri" w:hAnsi="Calibri"/>
                <w:color w:val="000000"/>
                <w:sz w:val="20"/>
                <w:szCs w:val="20"/>
              </w:rPr>
            </w:pPr>
            <w:r w:rsidRPr="00B6071A">
              <w:rPr>
                <w:rFonts w:ascii="Calibri" w:hAnsi="Calibri"/>
                <w:color w:val="000000"/>
                <w:sz w:val="20"/>
                <w:szCs w:val="20"/>
              </w:rPr>
              <w:t>44%</w:t>
            </w:r>
          </w:p>
        </w:tc>
      </w:tr>
      <w:tr w:rsidR="008D2E7F" w:rsidRPr="00515B2D" w14:paraId="438A3519" w14:textId="77777777" w:rsidTr="00515B2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A3515" w14:textId="77777777" w:rsidR="008D2E7F" w:rsidRPr="009C0E6D" w:rsidRDefault="008D2E7F" w:rsidP="00515B2D">
            <w:pPr>
              <w:jc w:val="center"/>
              <w:rPr>
                <w:rFonts w:ascii="Calibri" w:hAnsi="Calibri"/>
                <w:color w:val="000000"/>
                <w:sz w:val="20"/>
                <w:szCs w:val="20"/>
                <w:lang w:val="nl-BE" w:eastAsia="nl-BE"/>
              </w:rPr>
            </w:pPr>
            <w:r w:rsidRPr="009C0E6D">
              <w:rPr>
                <w:rFonts w:ascii="Calibri" w:hAnsi="Calibri"/>
                <w:color w:val="000000"/>
                <w:sz w:val="20"/>
                <w:szCs w:val="20"/>
                <w:lang w:val="nl-BE" w:eastAsia="nl-BE"/>
              </w:rPr>
              <w:t>2016</w:t>
            </w:r>
          </w:p>
        </w:tc>
        <w:tc>
          <w:tcPr>
            <w:tcW w:w="1660" w:type="dxa"/>
            <w:tcBorders>
              <w:top w:val="nil"/>
              <w:left w:val="nil"/>
              <w:bottom w:val="single" w:sz="4" w:space="0" w:color="auto"/>
              <w:right w:val="single" w:sz="4" w:space="0" w:color="auto"/>
            </w:tcBorders>
            <w:shd w:val="clear" w:color="auto" w:fill="auto"/>
            <w:noWrap/>
            <w:vAlign w:val="center"/>
            <w:hideMark/>
          </w:tcPr>
          <w:p w14:paraId="438A3516"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€ 5.000.000,00</w:t>
            </w:r>
          </w:p>
        </w:tc>
        <w:tc>
          <w:tcPr>
            <w:tcW w:w="1660" w:type="dxa"/>
            <w:tcBorders>
              <w:top w:val="nil"/>
              <w:left w:val="nil"/>
              <w:bottom w:val="single" w:sz="4" w:space="0" w:color="auto"/>
              <w:right w:val="single" w:sz="4" w:space="0" w:color="auto"/>
            </w:tcBorders>
            <w:shd w:val="clear" w:color="auto" w:fill="auto"/>
            <w:noWrap/>
            <w:vAlign w:val="center"/>
            <w:hideMark/>
          </w:tcPr>
          <w:p w14:paraId="438A3517" w14:textId="77777777" w:rsidR="008D2E7F" w:rsidRPr="009C0E6D" w:rsidRDefault="008D2E7F" w:rsidP="00515B2D">
            <w:pPr>
              <w:jc w:val="right"/>
              <w:rPr>
                <w:rFonts w:ascii="Calibri" w:hAnsi="Calibri"/>
                <w:color w:val="000000"/>
                <w:sz w:val="20"/>
                <w:szCs w:val="20"/>
                <w:lang w:val="nl-BE" w:eastAsia="nl-BE"/>
              </w:rPr>
            </w:pPr>
            <w:r w:rsidRPr="009C0E6D">
              <w:rPr>
                <w:rFonts w:ascii="Calibri" w:hAnsi="Calibri"/>
                <w:color w:val="000000"/>
                <w:sz w:val="20"/>
                <w:szCs w:val="20"/>
                <w:lang w:val="nl-BE" w:eastAsia="nl-BE"/>
              </w:rPr>
              <w:t>€ 3.866.991,93</w:t>
            </w:r>
          </w:p>
        </w:tc>
        <w:tc>
          <w:tcPr>
            <w:tcW w:w="1660" w:type="dxa"/>
            <w:tcBorders>
              <w:top w:val="nil"/>
              <w:left w:val="nil"/>
              <w:bottom w:val="single" w:sz="4" w:space="0" w:color="auto"/>
              <w:right w:val="single" w:sz="4" w:space="0" w:color="auto"/>
            </w:tcBorders>
            <w:shd w:val="clear" w:color="auto" w:fill="auto"/>
            <w:noWrap/>
            <w:vAlign w:val="bottom"/>
            <w:hideMark/>
          </w:tcPr>
          <w:p w14:paraId="438A3518" w14:textId="77777777" w:rsidR="008D2E7F" w:rsidRPr="009C0E6D" w:rsidRDefault="008D2E7F">
            <w:pPr>
              <w:jc w:val="right"/>
              <w:rPr>
                <w:rFonts w:ascii="Calibri" w:hAnsi="Calibri"/>
                <w:color w:val="000000"/>
                <w:sz w:val="20"/>
                <w:szCs w:val="20"/>
              </w:rPr>
            </w:pPr>
            <w:r w:rsidRPr="009C0E6D">
              <w:rPr>
                <w:rFonts w:ascii="Calibri" w:hAnsi="Calibri"/>
                <w:color w:val="000000"/>
                <w:sz w:val="20"/>
                <w:szCs w:val="20"/>
              </w:rPr>
              <w:t>77%</w:t>
            </w:r>
          </w:p>
        </w:tc>
      </w:tr>
    </w:tbl>
    <w:p w14:paraId="438A351A" w14:textId="77777777" w:rsidR="00515B2D" w:rsidRDefault="00515B2D" w:rsidP="00755A09">
      <w:pPr>
        <w:jc w:val="both"/>
        <w:rPr>
          <w:rFonts w:ascii="Verdana" w:hAnsi="Verdana"/>
          <w:sz w:val="20"/>
          <w:szCs w:val="20"/>
          <w:lang w:val="nl-BE"/>
        </w:rPr>
      </w:pPr>
    </w:p>
    <w:p w14:paraId="438A351B" w14:textId="77777777" w:rsidR="00B5290D" w:rsidRDefault="00400D35" w:rsidP="00664B1C">
      <w:pPr>
        <w:ind w:left="284"/>
        <w:jc w:val="both"/>
        <w:rPr>
          <w:rFonts w:ascii="Verdana" w:hAnsi="Verdana"/>
          <w:sz w:val="20"/>
          <w:szCs w:val="20"/>
          <w:lang w:val="nl-BE"/>
        </w:rPr>
      </w:pPr>
      <w:r>
        <w:rPr>
          <w:rFonts w:ascii="Verdana" w:hAnsi="Verdana"/>
          <w:sz w:val="20"/>
          <w:szCs w:val="20"/>
          <w:lang w:val="nl-BE"/>
        </w:rPr>
        <w:t xml:space="preserve">De leegstandsheffing bedrijfsruimten wordt </w:t>
      </w:r>
      <w:r w:rsidR="00664B1C">
        <w:rPr>
          <w:rFonts w:ascii="Verdana" w:hAnsi="Verdana"/>
          <w:sz w:val="20"/>
          <w:szCs w:val="20"/>
          <w:lang w:val="nl-BE"/>
        </w:rPr>
        <w:t>steeds</w:t>
      </w:r>
      <w:r>
        <w:rPr>
          <w:rFonts w:ascii="Verdana" w:hAnsi="Verdana"/>
          <w:sz w:val="20"/>
          <w:szCs w:val="20"/>
          <w:lang w:val="nl-BE"/>
        </w:rPr>
        <w:t xml:space="preserve"> op het einde van </w:t>
      </w:r>
      <w:r w:rsidR="00664B1C">
        <w:rPr>
          <w:rFonts w:ascii="Verdana" w:hAnsi="Verdana"/>
          <w:sz w:val="20"/>
          <w:szCs w:val="20"/>
          <w:lang w:val="nl-BE"/>
        </w:rPr>
        <w:t>het aanslagjaar</w:t>
      </w:r>
      <w:r>
        <w:rPr>
          <w:rFonts w:ascii="Verdana" w:hAnsi="Verdana"/>
          <w:sz w:val="20"/>
          <w:szCs w:val="20"/>
          <w:lang w:val="nl-BE"/>
        </w:rPr>
        <w:t xml:space="preserve"> </w:t>
      </w:r>
      <w:proofErr w:type="spellStart"/>
      <w:r>
        <w:rPr>
          <w:rFonts w:ascii="Verdana" w:hAnsi="Verdana"/>
          <w:sz w:val="20"/>
          <w:szCs w:val="20"/>
          <w:lang w:val="nl-BE"/>
        </w:rPr>
        <w:t>ingekohierd</w:t>
      </w:r>
      <w:proofErr w:type="spellEnd"/>
      <w:r>
        <w:rPr>
          <w:rFonts w:ascii="Verdana" w:hAnsi="Verdana"/>
          <w:sz w:val="20"/>
          <w:szCs w:val="20"/>
          <w:lang w:val="nl-BE"/>
        </w:rPr>
        <w:t xml:space="preserve">. </w:t>
      </w:r>
      <w:r w:rsidR="00664B1C">
        <w:rPr>
          <w:rFonts w:ascii="Verdana" w:hAnsi="Verdana"/>
          <w:sz w:val="20"/>
          <w:szCs w:val="20"/>
          <w:lang w:val="nl-BE"/>
        </w:rPr>
        <w:t>Concreet werd d</w:t>
      </w:r>
      <w:r>
        <w:rPr>
          <w:rFonts w:ascii="Verdana" w:hAnsi="Verdana"/>
          <w:sz w:val="20"/>
          <w:szCs w:val="20"/>
          <w:lang w:val="nl-BE"/>
        </w:rPr>
        <w:t xml:space="preserve">e leegstandsheffing bedrijfsruimten voor aanslagjaar 2014 </w:t>
      </w:r>
      <w:r w:rsidR="00664B1C">
        <w:rPr>
          <w:rFonts w:ascii="Verdana" w:hAnsi="Verdana"/>
          <w:sz w:val="20"/>
          <w:szCs w:val="20"/>
          <w:lang w:val="nl-BE"/>
        </w:rPr>
        <w:t xml:space="preserve">dus </w:t>
      </w:r>
      <w:r>
        <w:rPr>
          <w:rFonts w:ascii="Verdana" w:hAnsi="Verdana"/>
          <w:sz w:val="20"/>
          <w:szCs w:val="20"/>
          <w:lang w:val="nl-BE"/>
        </w:rPr>
        <w:t xml:space="preserve">eind 2014 </w:t>
      </w:r>
      <w:proofErr w:type="spellStart"/>
      <w:r>
        <w:rPr>
          <w:rFonts w:ascii="Verdana" w:hAnsi="Verdana"/>
          <w:sz w:val="20"/>
          <w:szCs w:val="20"/>
          <w:lang w:val="nl-BE"/>
        </w:rPr>
        <w:t>ingekohierd</w:t>
      </w:r>
      <w:proofErr w:type="spellEnd"/>
      <w:r>
        <w:rPr>
          <w:rFonts w:ascii="Verdana" w:hAnsi="Verdana"/>
          <w:sz w:val="20"/>
          <w:szCs w:val="20"/>
          <w:lang w:val="nl-BE"/>
        </w:rPr>
        <w:t xml:space="preserve">. Gezien er voor aanslagjaar 2014 minder </w:t>
      </w:r>
      <w:proofErr w:type="spellStart"/>
      <w:r>
        <w:rPr>
          <w:rFonts w:ascii="Verdana" w:hAnsi="Verdana"/>
          <w:sz w:val="20"/>
          <w:szCs w:val="20"/>
          <w:lang w:val="nl-BE"/>
        </w:rPr>
        <w:t>ingekohierd</w:t>
      </w:r>
      <w:proofErr w:type="spellEnd"/>
      <w:r>
        <w:rPr>
          <w:rFonts w:ascii="Verdana" w:hAnsi="Verdana"/>
          <w:sz w:val="20"/>
          <w:szCs w:val="20"/>
          <w:lang w:val="nl-BE"/>
        </w:rPr>
        <w:t xml:space="preserve"> werd </w:t>
      </w:r>
      <w:r w:rsidR="00664B1C">
        <w:rPr>
          <w:rFonts w:ascii="Verdana" w:hAnsi="Verdana"/>
          <w:sz w:val="20"/>
          <w:szCs w:val="20"/>
          <w:lang w:val="nl-BE"/>
        </w:rPr>
        <w:t>t.o.v.</w:t>
      </w:r>
      <w:r>
        <w:rPr>
          <w:rFonts w:ascii="Verdana" w:hAnsi="Verdana"/>
          <w:sz w:val="20"/>
          <w:szCs w:val="20"/>
          <w:lang w:val="nl-BE"/>
        </w:rPr>
        <w:t xml:space="preserve"> de andere aanslagjaren, heeft dit zijn effect gehad op de </w:t>
      </w:r>
      <w:r w:rsidR="00664B1C">
        <w:rPr>
          <w:rFonts w:ascii="Verdana" w:hAnsi="Verdana"/>
          <w:sz w:val="20"/>
          <w:szCs w:val="20"/>
          <w:lang w:val="nl-BE"/>
        </w:rPr>
        <w:t xml:space="preserve">effectieve </w:t>
      </w:r>
      <w:r>
        <w:rPr>
          <w:rFonts w:ascii="Verdana" w:hAnsi="Verdana"/>
          <w:sz w:val="20"/>
          <w:szCs w:val="20"/>
          <w:lang w:val="nl-BE"/>
        </w:rPr>
        <w:t xml:space="preserve">inkomsten in </w:t>
      </w:r>
      <w:r w:rsidR="00664B1C">
        <w:rPr>
          <w:rFonts w:ascii="Verdana" w:hAnsi="Verdana"/>
          <w:sz w:val="20"/>
          <w:szCs w:val="20"/>
          <w:lang w:val="nl-BE"/>
        </w:rPr>
        <w:t xml:space="preserve">kalenderjaar </w:t>
      </w:r>
      <w:r>
        <w:rPr>
          <w:rFonts w:ascii="Verdana" w:hAnsi="Verdana"/>
          <w:sz w:val="20"/>
          <w:szCs w:val="20"/>
          <w:lang w:val="nl-BE"/>
        </w:rPr>
        <w:t>2015</w:t>
      </w:r>
      <w:r w:rsidR="00664B1C">
        <w:rPr>
          <w:rFonts w:ascii="Verdana" w:hAnsi="Verdana"/>
          <w:sz w:val="20"/>
          <w:szCs w:val="20"/>
          <w:lang w:val="nl-BE"/>
        </w:rPr>
        <w:t xml:space="preserve"> en ook op de procentuele verhouding t.a.v. de </w:t>
      </w:r>
      <w:r w:rsidR="00664B1C">
        <w:rPr>
          <w:rFonts w:ascii="Verdana" w:hAnsi="Verdana"/>
          <w:sz w:val="20"/>
          <w:szCs w:val="20"/>
          <w:lang w:val="nl-BE"/>
        </w:rPr>
        <w:lastRenderedPageBreak/>
        <w:t xml:space="preserve">begrote inkomsten. Er geldt immers een betaaltermijn van </w:t>
      </w:r>
      <w:r w:rsidR="00D41142">
        <w:rPr>
          <w:rFonts w:ascii="Verdana" w:hAnsi="Verdana"/>
          <w:sz w:val="20"/>
          <w:szCs w:val="20"/>
          <w:lang w:val="nl-BE"/>
        </w:rPr>
        <w:t>2</w:t>
      </w:r>
      <w:r w:rsidR="00664B1C">
        <w:rPr>
          <w:rFonts w:ascii="Verdana" w:hAnsi="Verdana"/>
          <w:sz w:val="20"/>
          <w:szCs w:val="20"/>
          <w:lang w:val="nl-BE"/>
        </w:rPr>
        <w:t xml:space="preserve"> maanden. De aanslagen van aanslagjaar 2014 worden dus voornamelijk betaald in kalenderjaar 2015.</w:t>
      </w:r>
    </w:p>
    <w:p w14:paraId="438A351C" w14:textId="77777777" w:rsidR="00B5290D" w:rsidRPr="00A12877" w:rsidRDefault="00B5290D" w:rsidP="00755A09">
      <w:pPr>
        <w:jc w:val="both"/>
        <w:rPr>
          <w:rFonts w:ascii="Verdana" w:hAnsi="Verdana"/>
          <w:sz w:val="20"/>
          <w:szCs w:val="20"/>
          <w:lang w:val="nl-BE"/>
        </w:rPr>
      </w:pPr>
    </w:p>
    <w:p w14:paraId="438A351D" w14:textId="77777777" w:rsidR="00671517" w:rsidRPr="00671517" w:rsidRDefault="00671517" w:rsidP="00671517">
      <w:pPr>
        <w:numPr>
          <w:ilvl w:val="0"/>
          <w:numId w:val="3"/>
        </w:numPr>
        <w:ind w:left="284" w:hanging="284"/>
        <w:jc w:val="both"/>
        <w:rPr>
          <w:rFonts w:ascii="Verdana" w:hAnsi="Verdana"/>
          <w:sz w:val="20"/>
          <w:szCs w:val="20"/>
          <w:lang w:val="nl-BE"/>
        </w:rPr>
      </w:pPr>
      <w:r w:rsidRPr="00671517">
        <w:rPr>
          <w:rFonts w:ascii="Verdana" w:hAnsi="Verdana"/>
          <w:sz w:val="20"/>
          <w:szCs w:val="20"/>
          <w:lang w:val="nl-BE"/>
        </w:rPr>
        <w:t xml:space="preserve">Een vertrekpunt voor de vergelijking van de </w:t>
      </w:r>
      <w:r w:rsidR="00B6071A">
        <w:rPr>
          <w:rFonts w:ascii="Verdana" w:hAnsi="Verdana"/>
          <w:sz w:val="20"/>
          <w:szCs w:val="20"/>
          <w:lang w:val="nl-BE"/>
        </w:rPr>
        <w:t xml:space="preserve">geïnde </w:t>
      </w:r>
      <w:r w:rsidRPr="00671517">
        <w:rPr>
          <w:rFonts w:ascii="Verdana" w:hAnsi="Verdana"/>
          <w:sz w:val="20"/>
          <w:szCs w:val="20"/>
          <w:lang w:val="nl-BE"/>
        </w:rPr>
        <w:t xml:space="preserve">heffing en </w:t>
      </w:r>
      <w:r w:rsidR="00B6071A">
        <w:rPr>
          <w:rFonts w:ascii="Verdana" w:hAnsi="Verdana"/>
          <w:sz w:val="20"/>
          <w:szCs w:val="20"/>
          <w:lang w:val="nl-BE"/>
        </w:rPr>
        <w:t xml:space="preserve">toegekende </w:t>
      </w:r>
      <w:r w:rsidRPr="00671517">
        <w:rPr>
          <w:rFonts w:ascii="Verdana" w:hAnsi="Verdana"/>
          <w:sz w:val="20"/>
          <w:szCs w:val="20"/>
          <w:lang w:val="nl-BE"/>
        </w:rPr>
        <w:t>subsidie</w:t>
      </w:r>
      <w:r w:rsidR="00481C1D">
        <w:rPr>
          <w:rFonts w:ascii="Verdana" w:hAnsi="Verdana"/>
          <w:sz w:val="20"/>
          <w:szCs w:val="20"/>
          <w:lang w:val="nl-BE"/>
        </w:rPr>
        <w:t>s</w:t>
      </w:r>
      <w:r w:rsidRPr="00671517">
        <w:rPr>
          <w:rFonts w:ascii="Verdana" w:hAnsi="Verdana"/>
          <w:sz w:val="20"/>
          <w:szCs w:val="20"/>
          <w:lang w:val="nl-BE"/>
        </w:rPr>
        <w:t xml:space="preserve"> is het aantal opnames per jaar in de inventaris leegstaande en/of verwaarloosde bedrijfsruimten. </w:t>
      </w:r>
    </w:p>
    <w:p w14:paraId="438A351E" w14:textId="77777777" w:rsidR="00671517" w:rsidRDefault="00671517" w:rsidP="00671517">
      <w:pPr>
        <w:jc w:val="both"/>
        <w:rPr>
          <w:rFonts w:ascii="Verdana" w:hAnsi="Verdana"/>
          <w:sz w:val="20"/>
          <w:szCs w:val="20"/>
          <w:lang w:val="nl-BE"/>
        </w:rPr>
      </w:pPr>
    </w:p>
    <w:p w14:paraId="438A351F" w14:textId="77777777" w:rsidR="00671517" w:rsidRDefault="00671517" w:rsidP="00671517">
      <w:pPr>
        <w:ind w:left="284"/>
        <w:jc w:val="both"/>
        <w:rPr>
          <w:rFonts w:ascii="Verdana" w:hAnsi="Verdana"/>
          <w:sz w:val="20"/>
          <w:szCs w:val="20"/>
          <w:lang w:val="nl-BE"/>
        </w:rPr>
      </w:pPr>
      <w:r w:rsidRPr="00671517">
        <w:rPr>
          <w:rFonts w:ascii="Verdana" w:hAnsi="Verdana"/>
          <w:sz w:val="20"/>
          <w:szCs w:val="20"/>
          <w:lang w:val="nl-BE"/>
        </w:rPr>
        <w:t>Onderstaande tabel geeft het aantal opnames weer in de inventaris voor leegstand en/of verwaarlozing per registratiejaar en per provincie en het procentuele aandeel per provincie van het totale aantal opnames in de periode 2012-2016.</w:t>
      </w:r>
    </w:p>
    <w:p w14:paraId="438A3520" w14:textId="77777777" w:rsidR="00671517" w:rsidRDefault="00671517" w:rsidP="00671517">
      <w:pPr>
        <w:ind w:left="284"/>
        <w:jc w:val="both"/>
        <w:rPr>
          <w:rFonts w:ascii="Verdana" w:hAnsi="Verdana"/>
          <w:sz w:val="20"/>
          <w:szCs w:val="20"/>
          <w:lang w:val="nl-BE"/>
        </w:rPr>
      </w:pPr>
    </w:p>
    <w:tbl>
      <w:tblPr>
        <w:tblStyle w:val="Tabelraster"/>
        <w:tblW w:w="7515" w:type="dxa"/>
        <w:tblInd w:w="392" w:type="dxa"/>
        <w:tblLook w:val="04A0" w:firstRow="1" w:lastRow="0" w:firstColumn="1" w:lastColumn="0" w:noHBand="0" w:noVBand="1"/>
      </w:tblPr>
      <w:tblGrid>
        <w:gridCol w:w="1827"/>
        <w:gridCol w:w="675"/>
        <w:gridCol w:w="675"/>
        <w:gridCol w:w="675"/>
        <w:gridCol w:w="675"/>
        <w:gridCol w:w="675"/>
        <w:gridCol w:w="888"/>
        <w:gridCol w:w="1460"/>
      </w:tblGrid>
      <w:tr w:rsidR="00671517" w:rsidRPr="00671517" w14:paraId="438A3529" w14:textId="77777777" w:rsidTr="00671517">
        <w:trPr>
          <w:trHeight w:val="274"/>
        </w:trPr>
        <w:tc>
          <w:tcPr>
            <w:tcW w:w="1827" w:type="dxa"/>
            <w:noWrap/>
            <w:vAlign w:val="center"/>
            <w:hideMark/>
          </w:tcPr>
          <w:p w14:paraId="438A3521" w14:textId="77777777" w:rsidR="00671517" w:rsidRPr="00671517" w:rsidRDefault="00671517" w:rsidP="00671517">
            <w:pPr>
              <w:spacing w:after="240" w:line="360" w:lineRule="auto"/>
              <w:jc w:val="both"/>
              <w:rPr>
                <w:rFonts w:asciiTheme="minorHAnsi" w:hAnsiTheme="minorHAnsi" w:cs="Arial"/>
                <w:sz w:val="20"/>
                <w:szCs w:val="20"/>
              </w:rPr>
            </w:pPr>
          </w:p>
        </w:tc>
        <w:tc>
          <w:tcPr>
            <w:tcW w:w="668" w:type="dxa"/>
            <w:noWrap/>
            <w:vAlign w:val="bottom"/>
            <w:hideMark/>
          </w:tcPr>
          <w:p w14:paraId="438A3522" w14:textId="77777777" w:rsidR="00671517" w:rsidRPr="00671517" w:rsidRDefault="00671517" w:rsidP="00671517">
            <w:pPr>
              <w:spacing w:after="240" w:line="360" w:lineRule="auto"/>
              <w:jc w:val="center"/>
              <w:rPr>
                <w:rFonts w:asciiTheme="minorHAnsi" w:hAnsiTheme="minorHAnsi" w:cs="Arial"/>
                <w:sz w:val="20"/>
                <w:szCs w:val="20"/>
              </w:rPr>
            </w:pPr>
            <w:r w:rsidRPr="00671517">
              <w:rPr>
                <w:rFonts w:asciiTheme="minorHAnsi" w:hAnsiTheme="minorHAnsi" w:cs="Arial"/>
                <w:sz w:val="20"/>
                <w:szCs w:val="20"/>
              </w:rPr>
              <w:t>2012</w:t>
            </w:r>
          </w:p>
        </w:tc>
        <w:tc>
          <w:tcPr>
            <w:tcW w:w="668" w:type="dxa"/>
            <w:noWrap/>
            <w:vAlign w:val="bottom"/>
            <w:hideMark/>
          </w:tcPr>
          <w:p w14:paraId="438A3523" w14:textId="77777777" w:rsidR="00671517" w:rsidRPr="00671517" w:rsidRDefault="00671517" w:rsidP="00671517">
            <w:pPr>
              <w:spacing w:after="240" w:line="360" w:lineRule="auto"/>
              <w:jc w:val="center"/>
              <w:rPr>
                <w:rFonts w:asciiTheme="minorHAnsi" w:hAnsiTheme="minorHAnsi" w:cs="Arial"/>
                <w:sz w:val="20"/>
                <w:szCs w:val="20"/>
              </w:rPr>
            </w:pPr>
            <w:r w:rsidRPr="00671517">
              <w:rPr>
                <w:rFonts w:asciiTheme="minorHAnsi" w:hAnsiTheme="minorHAnsi" w:cs="Arial"/>
                <w:sz w:val="20"/>
                <w:szCs w:val="20"/>
              </w:rPr>
              <w:t>2013</w:t>
            </w:r>
          </w:p>
        </w:tc>
        <w:tc>
          <w:tcPr>
            <w:tcW w:w="668" w:type="dxa"/>
            <w:noWrap/>
            <w:vAlign w:val="bottom"/>
            <w:hideMark/>
          </w:tcPr>
          <w:p w14:paraId="438A3524" w14:textId="77777777" w:rsidR="00671517" w:rsidRPr="00671517" w:rsidRDefault="00671517" w:rsidP="00671517">
            <w:pPr>
              <w:spacing w:after="240" w:line="360" w:lineRule="auto"/>
              <w:jc w:val="center"/>
              <w:rPr>
                <w:rFonts w:asciiTheme="minorHAnsi" w:hAnsiTheme="minorHAnsi" w:cs="Arial"/>
                <w:sz w:val="20"/>
                <w:szCs w:val="20"/>
              </w:rPr>
            </w:pPr>
            <w:r w:rsidRPr="00671517">
              <w:rPr>
                <w:rFonts w:asciiTheme="minorHAnsi" w:hAnsiTheme="minorHAnsi" w:cs="Arial"/>
                <w:sz w:val="20"/>
                <w:szCs w:val="20"/>
              </w:rPr>
              <w:t>2014</w:t>
            </w:r>
          </w:p>
        </w:tc>
        <w:tc>
          <w:tcPr>
            <w:tcW w:w="668" w:type="dxa"/>
            <w:noWrap/>
            <w:vAlign w:val="bottom"/>
            <w:hideMark/>
          </w:tcPr>
          <w:p w14:paraId="438A3525" w14:textId="77777777" w:rsidR="00671517" w:rsidRPr="00671517" w:rsidRDefault="00671517" w:rsidP="00671517">
            <w:pPr>
              <w:spacing w:after="240" w:line="360" w:lineRule="auto"/>
              <w:jc w:val="center"/>
              <w:rPr>
                <w:rFonts w:asciiTheme="minorHAnsi" w:hAnsiTheme="minorHAnsi" w:cs="Arial"/>
                <w:sz w:val="20"/>
                <w:szCs w:val="20"/>
              </w:rPr>
            </w:pPr>
            <w:r w:rsidRPr="00671517">
              <w:rPr>
                <w:rFonts w:asciiTheme="minorHAnsi" w:hAnsiTheme="minorHAnsi" w:cs="Arial"/>
                <w:sz w:val="20"/>
                <w:szCs w:val="20"/>
              </w:rPr>
              <w:t>2015</w:t>
            </w:r>
          </w:p>
        </w:tc>
        <w:tc>
          <w:tcPr>
            <w:tcW w:w="668" w:type="dxa"/>
            <w:noWrap/>
            <w:vAlign w:val="bottom"/>
            <w:hideMark/>
          </w:tcPr>
          <w:p w14:paraId="438A3526" w14:textId="77777777" w:rsidR="00671517" w:rsidRPr="00671517" w:rsidRDefault="00671517" w:rsidP="00671517">
            <w:pPr>
              <w:spacing w:after="240" w:line="360" w:lineRule="auto"/>
              <w:jc w:val="center"/>
              <w:rPr>
                <w:rFonts w:asciiTheme="minorHAnsi" w:hAnsiTheme="minorHAnsi" w:cs="Arial"/>
                <w:sz w:val="20"/>
                <w:szCs w:val="20"/>
              </w:rPr>
            </w:pPr>
            <w:r w:rsidRPr="00671517">
              <w:rPr>
                <w:rFonts w:asciiTheme="minorHAnsi" w:hAnsiTheme="minorHAnsi" w:cs="Arial"/>
                <w:sz w:val="20"/>
                <w:szCs w:val="20"/>
              </w:rPr>
              <w:t>2016</w:t>
            </w:r>
          </w:p>
        </w:tc>
        <w:tc>
          <w:tcPr>
            <w:tcW w:w="888" w:type="dxa"/>
            <w:noWrap/>
            <w:vAlign w:val="bottom"/>
            <w:hideMark/>
          </w:tcPr>
          <w:p w14:paraId="438A3527" w14:textId="77777777" w:rsidR="00671517" w:rsidRPr="00671517" w:rsidRDefault="00671517" w:rsidP="00671517">
            <w:pPr>
              <w:spacing w:after="240" w:line="360" w:lineRule="auto"/>
              <w:jc w:val="center"/>
              <w:rPr>
                <w:rFonts w:asciiTheme="minorHAnsi" w:hAnsiTheme="minorHAnsi" w:cs="Arial"/>
                <w:b/>
                <w:sz w:val="20"/>
                <w:szCs w:val="20"/>
              </w:rPr>
            </w:pPr>
            <w:r w:rsidRPr="00671517">
              <w:rPr>
                <w:rFonts w:asciiTheme="minorHAnsi" w:hAnsiTheme="minorHAnsi" w:cs="Arial"/>
                <w:b/>
                <w:sz w:val="20"/>
                <w:szCs w:val="20"/>
              </w:rPr>
              <w:t>Totaal</w:t>
            </w:r>
          </w:p>
        </w:tc>
        <w:tc>
          <w:tcPr>
            <w:tcW w:w="1460" w:type="dxa"/>
            <w:noWrap/>
            <w:vAlign w:val="bottom"/>
            <w:hideMark/>
          </w:tcPr>
          <w:p w14:paraId="438A3528" w14:textId="77777777" w:rsidR="00671517" w:rsidRPr="00671517" w:rsidRDefault="00671517" w:rsidP="00671517">
            <w:pPr>
              <w:spacing w:after="240" w:line="360" w:lineRule="auto"/>
              <w:jc w:val="center"/>
              <w:rPr>
                <w:rFonts w:asciiTheme="minorHAnsi" w:hAnsiTheme="minorHAnsi" w:cs="Arial"/>
                <w:sz w:val="20"/>
                <w:szCs w:val="20"/>
              </w:rPr>
            </w:pPr>
            <w:r w:rsidRPr="00671517">
              <w:rPr>
                <w:rFonts w:asciiTheme="minorHAnsi" w:hAnsiTheme="minorHAnsi" w:cs="Arial"/>
                <w:sz w:val="20"/>
                <w:szCs w:val="20"/>
              </w:rPr>
              <w:t>%</w:t>
            </w:r>
          </w:p>
        </w:tc>
      </w:tr>
      <w:tr w:rsidR="00671517" w:rsidRPr="00671517" w14:paraId="438A3532" w14:textId="77777777" w:rsidTr="00671517">
        <w:trPr>
          <w:trHeight w:val="274"/>
        </w:trPr>
        <w:tc>
          <w:tcPr>
            <w:tcW w:w="1827" w:type="dxa"/>
            <w:noWrap/>
            <w:vAlign w:val="center"/>
            <w:hideMark/>
          </w:tcPr>
          <w:p w14:paraId="438A352A" w14:textId="77777777" w:rsidR="00671517" w:rsidRPr="00671517" w:rsidRDefault="00671517" w:rsidP="00671517">
            <w:pPr>
              <w:spacing w:after="240" w:line="252" w:lineRule="auto"/>
              <w:rPr>
                <w:rFonts w:asciiTheme="minorHAnsi" w:eastAsiaTheme="minorHAnsi" w:hAnsiTheme="minorHAnsi" w:cs="Arial"/>
                <w:sz w:val="20"/>
                <w:szCs w:val="20"/>
              </w:rPr>
            </w:pPr>
            <w:r w:rsidRPr="00671517">
              <w:rPr>
                <w:rFonts w:asciiTheme="minorHAnsi" w:hAnsiTheme="minorHAnsi" w:cs="Arial"/>
                <w:sz w:val="20"/>
                <w:szCs w:val="20"/>
              </w:rPr>
              <w:t>Antwerpen</w:t>
            </w:r>
          </w:p>
        </w:tc>
        <w:tc>
          <w:tcPr>
            <w:tcW w:w="668" w:type="dxa"/>
            <w:noWrap/>
            <w:vAlign w:val="bottom"/>
            <w:hideMark/>
          </w:tcPr>
          <w:p w14:paraId="438A352B"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670</w:t>
            </w:r>
          </w:p>
        </w:tc>
        <w:tc>
          <w:tcPr>
            <w:tcW w:w="668" w:type="dxa"/>
            <w:noWrap/>
            <w:vAlign w:val="bottom"/>
            <w:hideMark/>
          </w:tcPr>
          <w:p w14:paraId="438A352C"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667</w:t>
            </w:r>
          </w:p>
        </w:tc>
        <w:tc>
          <w:tcPr>
            <w:tcW w:w="668" w:type="dxa"/>
            <w:noWrap/>
            <w:vAlign w:val="bottom"/>
            <w:hideMark/>
          </w:tcPr>
          <w:p w14:paraId="438A352D"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733</w:t>
            </w:r>
          </w:p>
        </w:tc>
        <w:tc>
          <w:tcPr>
            <w:tcW w:w="668" w:type="dxa"/>
            <w:noWrap/>
            <w:vAlign w:val="bottom"/>
            <w:hideMark/>
          </w:tcPr>
          <w:p w14:paraId="438A352E" w14:textId="77777777" w:rsidR="00671517" w:rsidRPr="00671517" w:rsidRDefault="00671517" w:rsidP="00671517">
            <w:pPr>
              <w:spacing w:after="240" w:line="252" w:lineRule="auto"/>
              <w:jc w:val="center"/>
              <w:rPr>
                <w:rFonts w:asciiTheme="minorHAnsi" w:hAnsiTheme="minorHAnsi" w:cs="Arial"/>
                <w:color w:val="000000"/>
                <w:sz w:val="20"/>
                <w:szCs w:val="20"/>
              </w:rPr>
            </w:pPr>
            <w:r w:rsidRPr="00671517">
              <w:rPr>
                <w:rFonts w:asciiTheme="minorHAnsi" w:hAnsiTheme="minorHAnsi" w:cs="Arial"/>
                <w:color w:val="000000"/>
                <w:sz w:val="20"/>
                <w:szCs w:val="20"/>
              </w:rPr>
              <w:t>788</w:t>
            </w:r>
          </w:p>
        </w:tc>
        <w:tc>
          <w:tcPr>
            <w:tcW w:w="668" w:type="dxa"/>
            <w:noWrap/>
            <w:vAlign w:val="bottom"/>
            <w:hideMark/>
          </w:tcPr>
          <w:p w14:paraId="438A352F"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829</w:t>
            </w:r>
          </w:p>
        </w:tc>
        <w:tc>
          <w:tcPr>
            <w:tcW w:w="888" w:type="dxa"/>
            <w:noWrap/>
            <w:vAlign w:val="bottom"/>
            <w:hideMark/>
          </w:tcPr>
          <w:p w14:paraId="438A3530"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3687</w:t>
            </w:r>
          </w:p>
        </w:tc>
        <w:tc>
          <w:tcPr>
            <w:tcW w:w="1460" w:type="dxa"/>
            <w:noWrap/>
            <w:vAlign w:val="bottom"/>
            <w:hideMark/>
          </w:tcPr>
          <w:p w14:paraId="438A3531"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30,74%</w:t>
            </w:r>
          </w:p>
        </w:tc>
      </w:tr>
      <w:tr w:rsidR="00671517" w:rsidRPr="00671517" w14:paraId="438A353B" w14:textId="77777777" w:rsidTr="00671517">
        <w:trPr>
          <w:trHeight w:val="274"/>
        </w:trPr>
        <w:tc>
          <w:tcPr>
            <w:tcW w:w="1827" w:type="dxa"/>
            <w:noWrap/>
            <w:vAlign w:val="center"/>
            <w:hideMark/>
          </w:tcPr>
          <w:p w14:paraId="438A3533" w14:textId="77777777" w:rsidR="00671517" w:rsidRPr="00671517" w:rsidRDefault="00671517" w:rsidP="00671517">
            <w:pPr>
              <w:spacing w:after="240" w:line="252" w:lineRule="auto"/>
              <w:rPr>
                <w:rFonts w:asciiTheme="minorHAnsi" w:hAnsiTheme="minorHAnsi" w:cs="Arial"/>
                <w:sz w:val="20"/>
                <w:szCs w:val="20"/>
              </w:rPr>
            </w:pPr>
            <w:r w:rsidRPr="00671517">
              <w:rPr>
                <w:rFonts w:asciiTheme="minorHAnsi" w:hAnsiTheme="minorHAnsi" w:cs="Arial"/>
                <w:sz w:val="20"/>
                <w:szCs w:val="20"/>
              </w:rPr>
              <w:t>Limburg</w:t>
            </w:r>
          </w:p>
        </w:tc>
        <w:tc>
          <w:tcPr>
            <w:tcW w:w="668" w:type="dxa"/>
            <w:noWrap/>
            <w:vAlign w:val="bottom"/>
            <w:hideMark/>
          </w:tcPr>
          <w:p w14:paraId="438A3534"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312</w:t>
            </w:r>
          </w:p>
        </w:tc>
        <w:tc>
          <w:tcPr>
            <w:tcW w:w="668" w:type="dxa"/>
            <w:noWrap/>
            <w:vAlign w:val="bottom"/>
            <w:hideMark/>
          </w:tcPr>
          <w:p w14:paraId="438A3535"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313</w:t>
            </w:r>
          </w:p>
        </w:tc>
        <w:tc>
          <w:tcPr>
            <w:tcW w:w="668" w:type="dxa"/>
            <w:noWrap/>
            <w:vAlign w:val="bottom"/>
            <w:hideMark/>
          </w:tcPr>
          <w:p w14:paraId="438A3536"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346</w:t>
            </w:r>
          </w:p>
        </w:tc>
        <w:tc>
          <w:tcPr>
            <w:tcW w:w="668" w:type="dxa"/>
            <w:noWrap/>
            <w:vAlign w:val="bottom"/>
            <w:hideMark/>
          </w:tcPr>
          <w:p w14:paraId="438A3537" w14:textId="77777777" w:rsidR="00671517" w:rsidRPr="00671517" w:rsidRDefault="00671517" w:rsidP="00671517">
            <w:pPr>
              <w:spacing w:after="240" w:line="252" w:lineRule="auto"/>
              <w:jc w:val="center"/>
              <w:rPr>
                <w:rFonts w:asciiTheme="minorHAnsi" w:hAnsiTheme="minorHAnsi" w:cs="Arial"/>
                <w:color w:val="000000"/>
                <w:sz w:val="20"/>
                <w:szCs w:val="20"/>
              </w:rPr>
            </w:pPr>
            <w:r w:rsidRPr="00671517">
              <w:rPr>
                <w:rFonts w:asciiTheme="minorHAnsi" w:hAnsiTheme="minorHAnsi" w:cs="Arial"/>
                <w:color w:val="000000"/>
                <w:sz w:val="20"/>
                <w:szCs w:val="20"/>
              </w:rPr>
              <w:t>400</w:t>
            </w:r>
          </w:p>
        </w:tc>
        <w:tc>
          <w:tcPr>
            <w:tcW w:w="668" w:type="dxa"/>
            <w:noWrap/>
            <w:vAlign w:val="bottom"/>
            <w:hideMark/>
          </w:tcPr>
          <w:p w14:paraId="438A3538"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481</w:t>
            </w:r>
          </w:p>
        </w:tc>
        <w:tc>
          <w:tcPr>
            <w:tcW w:w="888" w:type="dxa"/>
            <w:noWrap/>
            <w:vAlign w:val="bottom"/>
            <w:hideMark/>
          </w:tcPr>
          <w:p w14:paraId="438A3539"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1852</w:t>
            </w:r>
          </w:p>
        </w:tc>
        <w:tc>
          <w:tcPr>
            <w:tcW w:w="1460" w:type="dxa"/>
            <w:noWrap/>
            <w:vAlign w:val="bottom"/>
            <w:hideMark/>
          </w:tcPr>
          <w:p w14:paraId="438A353A"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15,44%</w:t>
            </w:r>
          </w:p>
        </w:tc>
      </w:tr>
      <w:tr w:rsidR="00671517" w:rsidRPr="00671517" w14:paraId="438A3544" w14:textId="77777777" w:rsidTr="00671517">
        <w:trPr>
          <w:trHeight w:val="274"/>
        </w:trPr>
        <w:tc>
          <w:tcPr>
            <w:tcW w:w="1827" w:type="dxa"/>
            <w:noWrap/>
            <w:vAlign w:val="center"/>
            <w:hideMark/>
          </w:tcPr>
          <w:p w14:paraId="438A353C" w14:textId="77777777" w:rsidR="00671517" w:rsidRPr="00671517" w:rsidRDefault="00671517" w:rsidP="00671517">
            <w:pPr>
              <w:spacing w:after="240" w:line="252" w:lineRule="auto"/>
              <w:rPr>
                <w:rFonts w:asciiTheme="minorHAnsi" w:hAnsiTheme="minorHAnsi" w:cs="Arial"/>
                <w:sz w:val="20"/>
                <w:szCs w:val="20"/>
              </w:rPr>
            </w:pPr>
            <w:r w:rsidRPr="00671517">
              <w:rPr>
                <w:rFonts w:asciiTheme="minorHAnsi" w:hAnsiTheme="minorHAnsi" w:cs="Arial"/>
                <w:sz w:val="20"/>
                <w:szCs w:val="20"/>
              </w:rPr>
              <w:t>Oost-Vlaanderen</w:t>
            </w:r>
          </w:p>
        </w:tc>
        <w:tc>
          <w:tcPr>
            <w:tcW w:w="668" w:type="dxa"/>
            <w:noWrap/>
            <w:vAlign w:val="bottom"/>
            <w:hideMark/>
          </w:tcPr>
          <w:p w14:paraId="438A353D"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470</w:t>
            </w:r>
          </w:p>
        </w:tc>
        <w:tc>
          <w:tcPr>
            <w:tcW w:w="668" w:type="dxa"/>
            <w:noWrap/>
            <w:vAlign w:val="bottom"/>
            <w:hideMark/>
          </w:tcPr>
          <w:p w14:paraId="438A353E"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455</w:t>
            </w:r>
          </w:p>
        </w:tc>
        <w:tc>
          <w:tcPr>
            <w:tcW w:w="668" w:type="dxa"/>
            <w:noWrap/>
            <w:vAlign w:val="bottom"/>
            <w:hideMark/>
          </w:tcPr>
          <w:p w14:paraId="438A353F"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506</w:t>
            </w:r>
          </w:p>
        </w:tc>
        <w:tc>
          <w:tcPr>
            <w:tcW w:w="668" w:type="dxa"/>
            <w:noWrap/>
            <w:vAlign w:val="bottom"/>
            <w:hideMark/>
          </w:tcPr>
          <w:p w14:paraId="438A3540" w14:textId="77777777" w:rsidR="00671517" w:rsidRPr="00671517" w:rsidRDefault="00671517" w:rsidP="00671517">
            <w:pPr>
              <w:spacing w:after="240" w:line="252" w:lineRule="auto"/>
              <w:jc w:val="center"/>
              <w:rPr>
                <w:rFonts w:asciiTheme="minorHAnsi" w:hAnsiTheme="minorHAnsi" w:cs="Arial"/>
                <w:color w:val="000000"/>
                <w:sz w:val="20"/>
                <w:szCs w:val="20"/>
              </w:rPr>
            </w:pPr>
            <w:r w:rsidRPr="00671517">
              <w:rPr>
                <w:rFonts w:asciiTheme="minorHAnsi" w:hAnsiTheme="minorHAnsi" w:cs="Arial"/>
                <w:color w:val="000000"/>
                <w:sz w:val="20"/>
                <w:szCs w:val="20"/>
              </w:rPr>
              <w:t>512</w:t>
            </w:r>
          </w:p>
        </w:tc>
        <w:tc>
          <w:tcPr>
            <w:tcW w:w="668" w:type="dxa"/>
            <w:noWrap/>
            <w:vAlign w:val="bottom"/>
            <w:hideMark/>
          </w:tcPr>
          <w:p w14:paraId="438A3541"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603</w:t>
            </w:r>
          </w:p>
        </w:tc>
        <w:tc>
          <w:tcPr>
            <w:tcW w:w="888" w:type="dxa"/>
            <w:noWrap/>
            <w:vAlign w:val="bottom"/>
            <w:hideMark/>
          </w:tcPr>
          <w:p w14:paraId="438A3542"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2</w:t>
            </w:r>
            <w:r w:rsidR="0097332A">
              <w:rPr>
                <w:rFonts w:asciiTheme="minorHAnsi" w:hAnsiTheme="minorHAnsi" w:cs="Arial"/>
                <w:b/>
                <w:bCs/>
                <w:sz w:val="20"/>
                <w:szCs w:val="20"/>
              </w:rPr>
              <w:t>.</w:t>
            </w:r>
            <w:r w:rsidRPr="00671517">
              <w:rPr>
                <w:rFonts w:asciiTheme="minorHAnsi" w:hAnsiTheme="minorHAnsi" w:cs="Arial"/>
                <w:b/>
                <w:bCs/>
                <w:sz w:val="20"/>
                <w:szCs w:val="20"/>
              </w:rPr>
              <w:t>546</w:t>
            </w:r>
          </w:p>
        </w:tc>
        <w:tc>
          <w:tcPr>
            <w:tcW w:w="1460" w:type="dxa"/>
            <w:noWrap/>
            <w:vAlign w:val="bottom"/>
            <w:hideMark/>
          </w:tcPr>
          <w:p w14:paraId="438A3543"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21,23%</w:t>
            </w:r>
          </w:p>
        </w:tc>
      </w:tr>
      <w:tr w:rsidR="00671517" w:rsidRPr="00671517" w14:paraId="438A354D" w14:textId="77777777" w:rsidTr="00671517">
        <w:trPr>
          <w:trHeight w:val="274"/>
        </w:trPr>
        <w:tc>
          <w:tcPr>
            <w:tcW w:w="1827" w:type="dxa"/>
            <w:noWrap/>
            <w:vAlign w:val="center"/>
            <w:hideMark/>
          </w:tcPr>
          <w:p w14:paraId="438A3545" w14:textId="77777777" w:rsidR="00671517" w:rsidRPr="00671517" w:rsidRDefault="00671517" w:rsidP="00671517">
            <w:pPr>
              <w:spacing w:after="240" w:line="252" w:lineRule="auto"/>
              <w:rPr>
                <w:rFonts w:asciiTheme="minorHAnsi" w:hAnsiTheme="minorHAnsi" w:cs="Arial"/>
                <w:sz w:val="20"/>
                <w:szCs w:val="20"/>
              </w:rPr>
            </w:pPr>
            <w:r w:rsidRPr="00671517">
              <w:rPr>
                <w:rFonts w:asciiTheme="minorHAnsi" w:hAnsiTheme="minorHAnsi" w:cs="Arial"/>
                <w:sz w:val="20"/>
                <w:szCs w:val="20"/>
              </w:rPr>
              <w:t>West-Vlaanderen</w:t>
            </w:r>
          </w:p>
        </w:tc>
        <w:tc>
          <w:tcPr>
            <w:tcW w:w="668" w:type="dxa"/>
            <w:noWrap/>
            <w:vAlign w:val="bottom"/>
            <w:hideMark/>
          </w:tcPr>
          <w:p w14:paraId="438A3546"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491</w:t>
            </w:r>
          </w:p>
        </w:tc>
        <w:tc>
          <w:tcPr>
            <w:tcW w:w="668" w:type="dxa"/>
            <w:noWrap/>
            <w:vAlign w:val="bottom"/>
            <w:hideMark/>
          </w:tcPr>
          <w:p w14:paraId="438A3547"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463</w:t>
            </w:r>
          </w:p>
        </w:tc>
        <w:tc>
          <w:tcPr>
            <w:tcW w:w="668" w:type="dxa"/>
            <w:noWrap/>
            <w:vAlign w:val="bottom"/>
            <w:hideMark/>
          </w:tcPr>
          <w:p w14:paraId="438A3548"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498</w:t>
            </w:r>
          </w:p>
        </w:tc>
        <w:tc>
          <w:tcPr>
            <w:tcW w:w="668" w:type="dxa"/>
            <w:noWrap/>
            <w:vAlign w:val="bottom"/>
            <w:hideMark/>
          </w:tcPr>
          <w:p w14:paraId="438A3549" w14:textId="77777777" w:rsidR="00671517" w:rsidRPr="00671517" w:rsidRDefault="00671517" w:rsidP="00671517">
            <w:pPr>
              <w:spacing w:after="240" w:line="252" w:lineRule="auto"/>
              <w:jc w:val="center"/>
              <w:rPr>
                <w:rFonts w:asciiTheme="minorHAnsi" w:hAnsiTheme="minorHAnsi" w:cs="Arial"/>
                <w:color w:val="000000"/>
                <w:sz w:val="20"/>
                <w:szCs w:val="20"/>
              </w:rPr>
            </w:pPr>
            <w:r w:rsidRPr="00671517">
              <w:rPr>
                <w:rFonts w:asciiTheme="minorHAnsi" w:hAnsiTheme="minorHAnsi" w:cs="Arial"/>
                <w:color w:val="000000"/>
                <w:sz w:val="20"/>
                <w:szCs w:val="20"/>
              </w:rPr>
              <w:t>515</w:t>
            </w:r>
          </w:p>
        </w:tc>
        <w:tc>
          <w:tcPr>
            <w:tcW w:w="668" w:type="dxa"/>
            <w:noWrap/>
            <w:vAlign w:val="bottom"/>
            <w:hideMark/>
          </w:tcPr>
          <w:p w14:paraId="438A354A"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534</w:t>
            </w:r>
          </w:p>
        </w:tc>
        <w:tc>
          <w:tcPr>
            <w:tcW w:w="888" w:type="dxa"/>
            <w:noWrap/>
            <w:vAlign w:val="bottom"/>
            <w:hideMark/>
          </w:tcPr>
          <w:p w14:paraId="438A354B"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2</w:t>
            </w:r>
            <w:r w:rsidR="0097332A">
              <w:rPr>
                <w:rFonts w:asciiTheme="minorHAnsi" w:hAnsiTheme="minorHAnsi" w:cs="Arial"/>
                <w:b/>
                <w:bCs/>
                <w:sz w:val="20"/>
                <w:szCs w:val="20"/>
              </w:rPr>
              <w:t>.</w:t>
            </w:r>
            <w:r w:rsidRPr="00671517">
              <w:rPr>
                <w:rFonts w:asciiTheme="minorHAnsi" w:hAnsiTheme="minorHAnsi" w:cs="Arial"/>
                <w:b/>
                <w:bCs/>
                <w:sz w:val="20"/>
                <w:szCs w:val="20"/>
              </w:rPr>
              <w:t>501</w:t>
            </w:r>
          </w:p>
        </w:tc>
        <w:tc>
          <w:tcPr>
            <w:tcW w:w="1460" w:type="dxa"/>
            <w:noWrap/>
            <w:vAlign w:val="bottom"/>
            <w:hideMark/>
          </w:tcPr>
          <w:p w14:paraId="438A354C"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20,85%</w:t>
            </w:r>
          </w:p>
        </w:tc>
      </w:tr>
      <w:tr w:rsidR="00671517" w:rsidRPr="00671517" w14:paraId="438A3556" w14:textId="77777777" w:rsidTr="00671517">
        <w:trPr>
          <w:trHeight w:val="274"/>
        </w:trPr>
        <w:tc>
          <w:tcPr>
            <w:tcW w:w="1827" w:type="dxa"/>
            <w:noWrap/>
            <w:vAlign w:val="center"/>
            <w:hideMark/>
          </w:tcPr>
          <w:p w14:paraId="438A354E" w14:textId="77777777" w:rsidR="00671517" w:rsidRPr="00671517" w:rsidRDefault="00671517" w:rsidP="00671517">
            <w:pPr>
              <w:spacing w:after="240" w:line="252" w:lineRule="auto"/>
              <w:rPr>
                <w:rFonts w:asciiTheme="minorHAnsi" w:hAnsiTheme="minorHAnsi" w:cs="Arial"/>
                <w:sz w:val="20"/>
                <w:szCs w:val="20"/>
              </w:rPr>
            </w:pPr>
            <w:r w:rsidRPr="00671517">
              <w:rPr>
                <w:rFonts w:asciiTheme="minorHAnsi" w:hAnsiTheme="minorHAnsi" w:cs="Arial"/>
                <w:sz w:val="20"/>
                <w:szCs w:val="20"/>
              </w:rPr>
              <w:t>Vlaams-Brabant</w:t>
            </w:r>
          </w:p>
        </w:tc>
        <w:tc>
          <w:tcPr>
            <w:tcW w:w="668" w:type="dxa"/>
            <w:noWrap/>
            <w:vAlign w:val="bottom"/>
            <w:hideMark/>
          </w:tcPr>
          <w:p w14:paraId="438A354F"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271</w:t>
            </w:r>
          </w:p>
        </w:tc>
        <w:tc>
          <w:tcPr>
            <w:tcW w:w="668" w:type="dxa"/>
            <w:noWrap/>
            <w:vAlign w:val="bottom"/>
            <w:hideMark/>
          </w:tcPr>
          <w:p w14:paraId="438A3550"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267</w:t>
            </w:r>
          </w:p>
        </w:tc>
        <w:tc>
          <w:tcPr>
            <w:tcW w:w="668" w:type="dxa"/>
            <w:noWrap/>
            <w:vAlign w:val="bottom"/>
            <w:hideMark/>
          </w:tcPr>
          <w:p w14:paraId="438A3551"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273</w:t>
            </w:r>
          </w:p>
        </w:tc>
        <w:tc>
          <w:tcPr>
            <w:tcW w:w="668" w:type="dxa"/>
            <w:noWrap/>
            <w:vAlign w:val="bottom"/>
            <w:hideMark/>
          </w:tcPr>
          <w:p w14:paraId="438A3552" w14:textId="77777777" w:rsidR="00671517" w:rsidRPr="00671517" w:rsidRDefault="00671517" w:rsidP="00671517">
            <w:pPr>
              <w:spacing w:after="240" w:line="252" w:lineRule="auto"/>
              <w:jc w:val="center"/>
              <w:rPr>
                <w:rFonts w:asciiTheme="minorHAnsi" w:hAnsiTheme="minorHAnsi" w:cs="Arial"/>
                <w:color w:val="000000"/>
                <w:sz w:val="20"/>
                <w:szCs w:val="20"/>
              </w:rPr>
            </w:pPr>
            <w:r w:rsidRPr="00671517">
              <w:rPr>
                <w:rFonts w:asciiTheme="minorHAnsi" w:hAnsiTheme="minorHAnsi" w:cs="Arial"/>
                <w:color w:val="000000"/>
                <w:sz w:val="20"/>
                <w:szCs w:val="20"/>
              </w:rPr>
              <w:t>283</w:t>
            </w:r>
          </w:p>
        </w:tc>
        <w:tc>
          <w:tcPr>
            <w:tcW w:w="668" w:type="dxa"/>
            <w:noWrap/>
            <w:vAlign w:val="bottom"/>
            <w:hideMark/>
          </w:tcPr>
          <w:p w14:paraId="438A3553"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313</w:t>
            </w:r>
          </w:p>
        </w:tc>
        <w:tc>
          <w:tcPr>
            <w:tcW w:w="888" w:type="dxa"/>
            <w:noWrap/>
            <w:vAlign w:val="bottom"/>
            <w:hideMark/>
          </w:tcPr>
          <w:p w14:paraId="438A3554"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1</w:t>
            </w:r>
            <w:r w:rsidR="0097332A">
              <w:rPr>
                <w:rFonts w:asciiTheme="minorHAnsi" w:hAnsiTheme="minorHAnsi" w:cs="Arial"/>
                <w:b/>
                <w:bCs/>
                <w:sz w:val="20"/>
                <w:szCs w:val="20"/>
              </w:rPr>
              <w:t>.</w:t>
            </w:r>
            <w:r w:rsidRPr="00671517">
              <w:rPr>
                <w:rFonts w:asciiTheme="minorHAnsi" w:hAnsiTheme="minorHAnsi" w:cs="Arial"/>
                <w:b/>
                <w:bCs/>
                <w:sz w:val="20"/>
                <w:szCs w:val="20"/>
              </w:rPr>
              <w:t>407</w:t>
            </w:r>
          </w:p>
        </w:tc>
        <w:tc>
          <w:tcPr>
            <w:tcW w:w="1460" w:type="dxa"/>
            <w:noWrap/>
            <w:vAlign w:val="bottom"/>
            <w:hideMark/>
          </w:tcPr>
          <w:p w14:paraId="438A3555"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11,73%</w:t>
            </w:r>
          </w:p>
        </w:tc>
      </w:tr>
      <w:tr w:rsidR="00671517" w:rsidRPr="00671517" w14:paraId="438A355F" w14:textId="77777777" w:rsidTr="00671517">
        <w:trPr>
          <w:trHeight w:val="274"/>
        </w:trPr>
        <w:tc>
          <w:tcPr>
            <w:tcW w:w="1827" w:type="dxa"/>
            <w:noWrap/>
            <w:vAlign w:val="center"/>
            <w:hideMark/>
          </w:tcPr>
          <w:p w14:paraId="438A3557" w14:textId="77777777" w:rsidR="00671517" w:rsidRPr="00671517" w:rsidRDefault="00671517" w:rsidP="00671517">
            <w:pPr>
              <w:spacing w:after="240" w:line="252" w:lineRule="auto"/>
              <w:rPr>
                <w:rFonts w:asciiTheme="minorHAnsi" w:hAnsiTheme="minorHAnsi" w:cs="Arial"/>
                <w:b/>
                <w:bCs/>
                <w:sz w:val="20"/>
                <w:szCs w:val="20"/>
              </w:rPr>
            </w:pPr>
            <w:r w:rsidRPr="00671517">
              <w:rPr>
                <w:rFonts w:asciiTheme="minorHAnsi" w:hAnsiTheme="minorHAnsi" w:cs="Arial"/>
                <w:b/>
                <w:bCs/>
                <w:sz w:val="20"/>
                <w:szCs w:val="20"/>
              </w:rPr>
              <w:t xml:space="preserve">Totaal </w:t>
            </w:r>
            <w:r w:rsidRPr="00671517">
              <w:rPr>
                <w:rFonts w:asciiTheme="minorHAnsi" w:hAnsiTheme="minorHAnsi" w:cs="Arial"/>
                <w:b/>
                <w:bCs/>
                <w:color w:val="000000"/>
                <w:sz w:val="20"/>
                <w:szCs w:val="20"/>
              </w:rPr>
              <w:t># dossiers</w:t>
            </w:r>
          </w:p>
        </w:tc>
        <w:tc>
          <w:tcPr>
            <w:tcW w:w="668" w:type="dxa"/>
            <w:noWrap/>
            <w:vAlign w:val="bottom"/>
            <w:hideMark/>
          </w:tcPr>
          <w:p w14:paraId="438A3558"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2</w:t>
            </w:r>
            <w:r w:rsidR="0097332A">
              <w:rPr>
                <w:rFonts w:asciiTheme="minorHAnsi" w:hAnsiTheme="minorHAnsi" w:cs="Arial"/>
                <w:b/>
                <w:bCs/>
                <w:sz w:val="20"/>
                <w:szCs w:val="20"/>
              </w:rPr>
              <w:t>.</w:t>
            </w:r>
            <w:r w:rsidRPr="00671517">
              <w:rPr>
                <w:rFonts w:asciiTheme="minorHAnsi" w:hAnsiTheme="minorHAnsi" w:cs="Arial"/>
                <w:b/>
                <w:bCs/>
                <w:sz w:val="20"/>
                <w:szCs w:val="20"/>
              </w:rPr>
              <w:t>214</w:t>
            </w:r>
          </w:p>
        </w:tc>
        <w:tc>
          <w:tcPr>
            <w:tcW w:w="668" w:type="dxa"/>
            <w:noWrap/>
            <w:vAlign w:val="bottom"/>
            <w:hideMark/>
          </w:tcPr>
          <w:p w14:paraId="438A3559"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2</w:t>
            </w:r>
            <w:r w:rsidR="0097332A">
              <w:rPr>
                <w:rFonts w:asciiTheme="minorHAnsi" w:hAnsiTheme="minorHAnsi" w:cs="Arial"/>
                <w:b/>
                <w:bCs/>
                <w:sz w:val="20"/>
                <w:szCs w:val="20"/>
              </w:rPr>
              <w:t>.</w:t>
            </w:r>
            <w:r w:rsidRPr="00671517">
              <w:rPr>
                <w:rFonts w:asciiTheme="minorHAnsi" w:hAnsiTheme="minorHAnsi" w:cs="Arial"/>
                <w:b/>
                <w:bCs/>
                <w:sz w:val="20"/>
                <w:szCs w:val="20"/>
              </w:rPr>
              <w:t>165</w:t>
            </w:r>
          </w:p>
        </w:tc>
        <w:tc>
          <w:tcPr>
            <w:tcW w:w="668" w:type="dxa"/>
            <w:noWrap/>
            <w:vAlign w:val="bottom"/>
            <w:hideMark/>
          </w:tcPr>
          <w:p w14:paraId="438A355A"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2</w:t>
            </w:r>
            <w:r w:rsidR="0097332A">
              <w:rPr>
                <w:rFonts w:asciiTheme="minorHAnsi" w:hAnsiTheme="minorHAnsi" w:cs="Arial"/>
                <w:b/>
                <w:bCs/>
                <w:sz w:val="20"/>
                <w:szCs w:val="20"/>
              </w:rPr>
              <w:t>.</w:t>
            </w:r>
            <w:r w:rsidRPr="00671517">
              <w:rPr>
                <w:rFonts w:asciiTheme="minorHAnsi" w:hAnsiTheme="minorHAnsi" w:cs="Arial"/>
                <w:b/>
                <w:bCs/>
                <w:sz w:val="20"/>
                <w:szCs w:val="20"/>
              </w:rPr>
              <w:t>356</w:t>
            </w:r>
          </w:p>
        </w:tc>
        <w:tc>
          <w:tcPr>
            <w:tcW w:w="668" w:type="dxa"/>
            <w:noWrap/>
            <w:vAlign w:val="bottom"/>
            <w:hideMark/>
          </w:tcPr>
          <w:p w14:paraId="438A355B" w14:textId="77777777" w:rsidR="00671517" w:rsidRPr="00671517" w:rsidRDefault="00671517" w:rsidP="00671517">
            <w:pPr>
              <w:spacing w:after="240" w:line="252" w:lineRule="auto"/>
              <w:jc w:val="center"/>
              <w:rPr>
                <w:rFonts w:asciiTheme="minorHAnsi" w:hAnsiTheme="minorHAnsi" w:cs="Arial"/>
                <w:b/>
                <w:bCs/>
                <w:color w:val="000000"/>
                <w:sz w:val="20"/>
                <w:szCs w:val="20"/>
              </w:rPr>
            </w:pPr>
            <w:r w:rsidRPr="00671517">
              <w:rPr>
                <w:rFonts w:asciiTheme="minorHAnsi" w:hAnsiTheme="minorHAnsi" w:cs="Arial"/>
                <w:b/>
                <w:bCs/>
                <w:color w:val="000000"/>
                <w:sz w:val="20"/>
                <w:szCs w:val="20"/>
              </w:rPr>
              <w:t>2</w:t>
            </w:r>
            <w:r w:rsidR="0097332A">
              <w:rPr>
                <w:rFonts w:asciiTheme="minorHAnsi" w:hAnsiTheme="minorHAnsi" w:cs="Arial"/>
                <w:b/>
                <w:bCs/>
                <w:color w:val="000000"/>
                <w:sz w:val="20"/>
                <w:szCs w:val="20"/>
              </w:rPr>
              <w:t>.</w:t>
            </w:r>
            <w:r w:rsidRPr="00671517">
              <w:rPr>
                <w:rFonts w:asciiTheme="minorHAnsi" w:hAnsiTheme="minorHAnsi" w:cs="Arial"/>
                <w:b/>
                <w:bCs/>
                <w:color w:val="000000"/>
                <w:sz w:val="20"/>
                <w:szCs w:val="20"/>
              </w:rPr>
              <w:t>498</w:t>
            </w:r>
          </w:p>
        </w:tc>
        <w:tc>
          <w:tcPr>
            <w:tcW w:w="668" w:type="dxa"/>
            <w:noWrap/>
            <w:vAlign w:val="bottom"/>
            <w:hideMark/>
          </w:tcPr>
          <w:p w14:paraId="438A355C"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2</w:t>
            </w:r>
            <w:r w:rsidR="0097332A">
              <w:rPr>
                <w:rFonts w:asciiTheme="minorHAnsi" w:hAnsiTheme="minorHAnsi" w:cs="Arial"/>
                <w:b/>
                <w:bCs/>
                <w:sz w:val="20"/>
                <w:szCs w:val="20"/>
              </w:rPr>
              <w:t>.</w:t>
            </w:r>
            <w:r w:rsidRPr="00671517">
              <w:rPr>
                <w:rFonts w:asciiTheme="minorHAnsi" w:hAnsiTheme="minorHAnsi" w:cs="Arial"/>
                <w:b/>
                <w:bCs/>
                <w:sz w:val="20"/>
                <w:szCs w:val="20"/>
              </w:rPr>
              <w:t>760</w:t>
            </w:r>
          </w:p>
        </w:tc>
        <w:tc>
          <w:tcPr>
            <w:tcW w:w="888" w:type="dxa"/>
            <w:noWrap/>
            <w:vAlign w:val="bottom"/>
            <w:hideMark/>
          </w:tcPr>
          <w:p w14:paraId="438A355D" w14:textId="77777777" w:rsidR="00671517" w:rsidRPr="00671517" w:rsidRDefault="00671517" w:rsidP="00671517">
            <w:pPr>
              <w:spacing w:after="240" w:line="252" w:lineRule="auto"/>
              <w:jc w:val="center"/>
              <w:rPr>
                <w:rFonts w:asciiTheme="minorHAnsi" w:hAnsiTheme="minorHAnsi" w:cs="Arial"/>
                <w:b/>
                <w:bCs/>
                <w:sz w:val="20"/>
                <w:szCs w:val="20"/>
              </w:rPr>
            </w:pPr>
            <w:r w:rsidRPr="00671517">
              <w:rPr>
                <w:rFonts w:asciiTheme="minorHAnsi" w:hAnsiTheme="minorHAnsi" w:cs="Arial"/>
                <w:b/>
                <w:bCs/>
                <w:sz w:val="20"/>
                <w:szCs w:val="20"/>
              </w:rPr>
              <w:t>11</w:t>
            </w:r>
            <w:r w:rsidR="0097332A">
              <w:rPr>
                <w:rFonts w:asciiTheme="minorHAnsi" w:hAnsiTheme="minorHAnsi" w:cs="Arial"/>
                <w:b/>
                <w:bCs/>
                <w:sz w:val="20"/>
                <w:szCs w:val="20"/>
              </w:rPr>
              <w:t>.</w:t>
            </w:r>
            <w:r w:rsidRPr="00671517">
              <w:rPr>
                <w:rFonts w:asciiTheme="minorHAnsi" w:hAnsiTheme="minorHAnsi" w:cs="Arial"/>
                <w:b/>
                <w:bCs/>
                <w:sz w:val="20"/>
                <w:szCs w:val="20"/>
              </w:rPr>
              <w:t>993</w:t>
            </w:r>
          </w:p>
        </w:tc>
        <w:tc>
          <w:tcPr>
            <w:tcW w:w="1460" w:type="dxa"/>
            <w:noWrap/>
            <w:vAlign w:val="bottom"/>
            <w:hideMark/>
          </w:tcPr>
          <w:p w14:paraId="438A355E" w14:textId="77777777" w:rsidR="00671517" w:rsidRPr="00671517" w:rsidRDefault="00671517" w:rsidP="00671517">
            <w:pPr>
              <w:spacing w:after="240" w:line="252" w:lineRule="auto"/>
              <w:jc w:val="center"/>
              <w:rPr>
                <w:rFonts w:asciiTheme="minorHAnsi" w:hAnsiTheme="minorHAnsi" w:cs="Arial"/>
                <w:sz w:val="20"/>
                <w:szCs w:val="20"/>
              </w:rPr>
            </w:pPr>
            <w:r w:rsidRPr="00671517">
              <w:rPr>
                <w:rFonts w:asciiTheme="minorHAnsi" w:hAnsiTheme="minorHAnsi" w:cs="Arial"/>
                <w:sz w:val="20"/>
                <w:szCs w:val="20"/>
              </w:rPr>
              <w:t>100,00%</w:t>
            </w:r>
          </w:p>
        </w:tc>
      </w:tr>
    </w:tbl>
    <w:p w14:paraId="438A3560" w14:textId="77777777" w:rsidR="00671517" w:rsidRPr="00671517" w:rsidRDefault="00671517" w:rsidP="00671517">
      <w:pPr>
        <w:jc w:val="both"/>
        <w:rPr>
          <w:rFonts w:ascii="Verdana" w:hAnsi="Verdana"/>
          <w:sz w:val="20"/>
          <w:szCs w:val="20"/>
        </w:rPr>
      </w:pPr>
    </w:p>
    <w:p w14:paraId="438A3561" w14:textId="77777777" w:rsidR="00671517" w:rsidRDefault="00671517" w:rsidP="00671517">
      <w:pPr>
        <w:ind w:left="284"/>
        <w:jc w:val="both"/>
        <w:rPr>
          <w:rFonts w:ascii="Verdana" w:hAnsi="Verdana"/>
          <w:sz w:val="20"/>
          <w:szCs w:val="20"/>
          <w:lang w:val="nl-BE"/>
        </w:rPr>
      </w:pPr>
      <w:r w:rsidRPr="00671517">
        <w:rPr>
          <w:rFonts w:ascii="Verdana" w:hAnsi="Verdana"/>
          <w:sz w:val="20"/>
          <w:szCs w:val="20"/>
          <w:lang w:val="nl-BE"/>
        </w:rPr>
        <w:t xml:space="preserve">Onderstaande tabel geeft de totale bedragen (afgerond) van de </w:t>
      </w:r>
      <w:r w:rsidRPr="00671517">
        <w:rPr>
          <w:rFonts w:ascii="Verdana" w:hAnsi="Verdana"/>
          <w:b/>
          <w:sz w:val="20"/>
          <w:szCs w:val="20"/>
          <w:lang w:val="nl-BE"/>
        </w:rPr>
        <w:t>subsidiedossiers</w:t>
      </w:r>
      <w:r w:rsidRPr="00671517">
        <w:rPr>
          <w:rFonts w:ascii="Verdana" w:hAnsi="Verdana"/>
          <w:sz w:val="20"/>
          <w:szCs w:val="20"/>
          <w:lang w:val="nl-BE"/>
        </w:rPr>
        <w:t xml:space="preserve"> inzake saneringswerken - private sector per inventarisjaar en per provincie. </w:t>
      </w:r>
    </w:p>
    <w:p w14:paraId="438A3562" w14:textId="77777777" w:rsidR="00671517" w:rsidRDefault="00671517" w:rsidP="00671517">
      <w:pPr>
        <w:ind w:left="284"/>
        <w:jc w:val="both"/>
        <w:rPr>
          <w:rFonts w:ascii="Verdana" w:hAnsi="Verdana"/>
          <w:sz w:val="20"/>
          <w:szCs w:val="20"/>
          <w:lang w:val="nl-BE"/>
        </w:rPr>
      </w:pPr>
    </w:p>
    <w:tbl>
      <w:tblPr>
        <w:tblStyle w:val="Tabelraster"/>
        <w:tblW w:w="9993" w:type="dxa"/>
        <w:jc w:val="center"/>
        <w:tblLook w:val="04A0" w:firstRow="1" w:lastRow="0" w:firstColumn="1" w:lastColumn="0" w:noHBand="0" w:noVBand="1"/>
      </w:tblPr>
      <w:tblGrid>
        <w:gridCol w:w="1712"/>
        <w:gridCol w:w="1183"/>
        <w:gridCol w:w="1183"/>
        <w:gridCol w:w="1183"/>
        <w:gridCol w:w="1183"/>
        <w:gridCol w:w="1183"/>
        <w:gridCol w:w="1183"/>
        <w:gridCol w:w="1183"/>
      </w:tblGrid>
      <w:tr w:rsidR="00671517" w:rsidRPr="00671517" w14:paraId="438A356B" w14:textId="77777777" w:rsidTr="00DE49A5">
        <w:trPr>
          <w:trHeight w:val="441"/>
          <w:jc w:val="center"/>
        </w:trPr>
        <w:tc>
          <w:tcPr>
            <w:tcW w:w="1712" w:type="dxa"/>
            <w:noWrap/>
            <w:vAlign w:val="center"/>
            <w:hideMark/>
          </w:tcPr>
          <w:p w14:paraId="438A3563" w14:textId="77777777" w:rsidR="00671517" w:rsidRPr="00671517" w:rsidRDefault="00671517" w:rsidP="00671517">
            <w:pPr>
              <w:rPr>
                <w:rFonts w:asciiTheme="minorHAnsi" w:hAnsiTheme="minorHAnsi" w:cs="Arial"/>
                <w:color w:val="000000"/>
                <w:sz w:val="20"/>
                <w:szCs w:val="20"/>
                <w:lang w:val="nl-BE" w:eastAsia="nl-BE"/>
              </w:rPr>
            </w:pPr>
          </w:p>
        </w:tc>
        <w:tc>
          <w:tcPr>
            <w:tcW w:w="1183" w:type="dxa"/>
            <w:noWrap/>
            <w:vAlign w:val="center"/>
            <w:hideMark/>
          </w:tcPr>
          <w:p w14:paraId="438A3564"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2012</w:t>
            </w:r>
          </w:p>
        </w:tc>
        <w:tc>
          <w:tcPr>
            <w:tcW w:w="1183" w:type="dxa"/>
            <w:noWrap/>
            <w:vAlign w:val="center"/>
            <w:hideMark/>
          </w:tcPr>
          <w:p w14:paraId="438A3565"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2013</w:t>
            </w:r>
          </w:p>
        </w:tc>
        <w:tc>
          <w:tcPr>
            <w:tcW w:w="1183" w:type="dxa"/>
            <w:noWrap/>
            <w:vAlign w:val="center"/>
            <w:hideMark/>
          </w:tcPr>
          <w:p w14:paraId="438A3566"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2014</w:t>
            </w:r>
          </w:p>
        </w:tc>
        <w:tc>
          <w:tcPr>
            <w:tcW w:w="1183" w:type="dxa"/>
            <w:noWrap/>
            <w:vAlign w:val="center"/>
            <w:hideMark/>
          </w:tcPr>
          <w:p w14:paraId="438A3567"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2015</w:t>
            </w:r>
          </w:p>
        </w:tc>
        <w:tc>
          <w:tcPr>
            <w:tcW w:w="1183" w:type="dxa"/>
            <w:noWrap/>
            <w:vAlign w:val="center"/>
            <w:hideMark/>
          </w:tcPr>
          <w:p w14:paraId="438A3568"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2016</w:t>
            </w:r>
          </w:p>
        </w:tc>
        <w:tc>
          <w:tcPr>
            <w:tcW w:w="1183" w:type="dxa"/>
            <w:noWrap/>
            <w:vAlign w:val="center"/>
            <w:hideMark/>
          </w:tcPr>
          <w:p w14:paraId="438A3569" w14:textId="77777777" w:rsidR="00671517" w:rsidRPr="00671517" w:rsidRDefault="00671517" w:rsidP="00671517">
            <w:pPr>
              <w:jc w:val="center"/>
              <w:rPr>
                <w:rFonts w:asciiTheme="minorHAnsi" w:hAnsiTheme="minorHAnsi" w:cs="Arial"/>
                <w:b/>
                <w:bCs/>
                <w:color w:val="000000"/>
                <w:sz w:val="20"/>
                <w:szCs w:val="20"/>
                <w:lang w:val="nl-BE" w:eastAsia="nl-BE"/>
              </w:rPr>
            </w:pPr>
            <w:r w:rsidRPr="00671517">
              <w:rPr>
                <w:rFonts w:asciiTheme="minorHAnsi" w:hAnsiTheme="minorHAnsi" w:cs="Arial"/>
                <w:b/>
                <w:bCs/>
                <w:color w:val="000000"/>
                <w:sz w:val="20"/>
                <w:szCs w:val="20"/>
                <w:lang w:val="nl-BE" w:eastAsia="nl-BE"/>
              </w:rPr>
              <w:t>Totaal</w:t>
            </w:r>
          </w:p>
        </w:tc>
        <w:tc>
          <w:tcPr>
            <w:tcW w:w="1183" w:type="dxa"/>
            <w:noWrap/>
            <w:vAlign w:val="center"/>
            <w:hideMark/>
          </w:tcPr>
          <w:p w14:paraId="438A356A"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w:t>
            </w:r>
          </w:p>
        </w:tc>
      </w:tr>
      <w:tr w:rsidR="00671517" w:rsidRPr="00671517" w14:paraId="438A3574" w14:textId="77777777" w:rsidTr="0097332A">
        <w:trPr>
          <w:trHeight w:val="441"/>
          <w:jc w:val="center"/>
        </w:trPr>
        <w:tc>
          <w:tcPr>
            <w:tcW w:w="1712" w:type="dxa"/>
            <w:noWrap/>
            <w:vAlign w:val="center"/>
            <w:hideMark/>
          </w:tcPr>
          <w:p w14:paraId="438A356C" w14:textId="77777777" w:rsidR="00671517" w:rsidRPr="00671517" w:rsidRDefault="00671517" w:rsidP="00671517">
            <w:pP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Antwerpen</w:t>
            </w:r>
          </w:p>
        </w:tc>
        <w:tc>
          <w:tcPr>
            <w:tcW w:w="1183" w:type="dxa"/>
            <w:noWrap/>
            <w:vAlign w:val="center"/>
            <w:hideMark/>
          </w:tcPr>
          <w:p w14:paraId="438A356D"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1.</w:t>
            </w:r>
            <w:r w:rsidR="00671517" w:rsidRPr="00671517">
              <w:rPr>
                <w:rFonts w:asciiTheme="minorHAnsi" w:hAnsiTheme="minorHAnsi" w:cs="Arial"/>
                <w:color w:val="000000"/>
                <w:sz w:val="20"/>
                <w:szCs w:val="20"/>
                <w:lang w:val="nl-BE" w:eastAsia="nl-BE"/>
              </w:rPr>
              <w:t>362</w:t>
            </w:r>
            <w:r>
              <w:rPr>
                <w:rFonts w:asciiTheme="minorHAnsi" w:hAnsiTheme="minorHAnsi" w:cs="Arial"/>
                <w:color w:val="000000"/>
                <w:sz w:val="20"/>
                <w:szCs w:val="20"/>
                <w:lang w:val="nl-BE" w:eastAsia="nl-BE"/>
              </w:rPr>
              <w:t>.</w:t>
            </w:r>
            <w:r w:rsidR="00671517" w:rsidRPr="00671517">
              <w:rPr>
                <w:rFonts w:asciiTheme="minorHAnsi" w:hAnsiTheme="minorHAnsi" w:cs="Arial"/>
                <w:color w:val="000000"/>
                <w:sz w:val="20"/>
                <w:szCs w:val="20"/>
                <w:lang w:val="nl-BE" w:eastAsia="nl-BE"/>
              </w:rPr>
              <w:t>203</w:t>
            </w:r>
          </w:p>
        </w:tc>
        <w:tc>
          <w:tcPr>
            <w:tcW w:w="1183" w:type="dxa"/>
            <w:noWrap/>
            <w:vAlign w:val="center"/>
            <w:hideMark/>
          </w:tcPr>
          <w:p w14:paraId="438A356E"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781.</w:t>
            </w:r>
            <w:r w:rsidR="00671517" w:rsidRPr="00671517">
              <w:rPr>
                <w:rFonts w:asciiTheme="minorHAnsi" w:hAnsiTheme="minorHAnsi" w:cs="Arial"/>
                <w:color w:val="000000"/>
                <w:sz w:val="20"/>
                <w:szCs w:val="20"/>
                <w:lang w:val="nl-BE" w:eastAsia="nl-BE"/>
              </w:rPr>
              <w:t>674</w:t>
            </w:r>
          </w:p>
        </w:tc>
        <w:tc>
          <w:tcPr>
            <w:tcW w:w="1183" w:type="dxa"/>
            <w:noWrap/>
            <w:vAlign w:val="center"/>
            <w:hideMark/>
          </w:tcPr>
          <w:p w14:paraId="438A356F"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3.915.</w:t>
            </w:r>
            <w:r w:rsidR="00671517" w:rsidRPr="00671517">
              <w:rPr>
                <w:rFonts w:asciiTheme="minorHAnsi" w:hAnsiTheme="minorHAnsi" w:cs="Arial"/>
                <w:color w:val="000000"/>
                <w:sz w:val="20"/>
                <w:szCs w:val="20"/>
                <w:lang w:val="nl-BE" w:eastAsia="nl-BE"/>
              </w:rPr>
              <w:t>363</w:t>
            </w:r>
          </w:p>
        </w:tc>
        <w:tc>
          <w:tcPr>
            <w:tcW w:w="1183" w:type="dxa"/>
            <w:noWrap/>
            <w:vAlign w:val="center"/>
            <w:hideMark/>
          </w:tcPr>
          <w:p w14:paraId="438A3570"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2.201.</w:t>
            </w:r>
            <w:r w:rsidR="00671517" w:rsidRPr="00671517">
              <w:rPr>
                <w:rFonts w:asciiTheme="minorHAnsi" w:hAnsiTheme="minorHAnsi" w:cs="Arial"/>
                <w:color w:val="000000"/>
                <w:sz w:val="20"/>
                <w:szCs w:val="20"/>
                <w:lang w:val="nl-BE" w:eastAsia="nl-BE"/>
              </w:rPr>
              <w:t>055</w:t>
            </w:r>
          </w:p>
        </w:tc>
        <w:tc>
          <w:tcPr>
            <w:tcW w:w="1183" w:type="dxa"/>
            <w:noWrap/>
            <w:vAlign w:val="center"/>
            <w:hideMark/>
          </w:tcPr>
          <w:p w14:paraId="438A3571"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1.656.</w:t>
            </w:r>
            <w:r w:rsidR="00671517" w:rsidRPr="00671517">
              <w:rPr>
                <w:rFonts w:asciiTheme="minorHAnsi" w:hAnsiTheme="minorHAnsi" w:cs="Arial"/>
                <w:color w:val="000000"/>
                <w:sz w:val="20"/>
                <w:szCs w:val="20"/>
                <w:lang w:val="nl-BE" w:eastAsia="nl-BE"/>
              </w:rPr>
              <w:t>090</w:t>
            </w:r>
          </w:p>
        </w:tc>
        <w:tc>
          <w:tcPr>
            <w:tcW w:w="1183" w:type="dxa"/>
            <w:noWrap/>
            <w:vAlign w:val="center"/>
            <w:hideMark/>
          </w:tcPr>
          <w:p w14:paraId="438A3572"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9.916.</w:t>
            </w:r>
            <w:r w:rsidR="00671517" w:rsidRPr="00671517">
              <w:rPr>
                <w:rFonts w:asciiTheme="minorHAnsi" w:hAnsiTheme="minorHAnsi" w:cs="Arial"/>
                <w:b/>
                <w:bCs/>
                <w:color w:val="000000"/>
                <w:sz w:val="20"/>
                <w:szCs w:val="20"/>
                <w:lang w:val="nl-BE" w:eastAsia="nl-BE"/>
              </w:rPr>
              <w:t>385</w:t>
            </w:r>
          </w:p>
        </w:tc>
        <w:tc>
          <w:tcPr>
            <w:tcW w:w="1183" w:type="dxa"/>
            <w:noWrap/>
            <w:vAlign w:val="center"/>
            <w:hideMark/>
          </w:tcPr>
          <w:p w14:paraId="438A3573"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36,88%</w:t>
            </w:r>
          </w:p>
        </w:tc>
      </w:tr>
      <w:tr w:rsidR="00671517" w:rsidRPr="00671517" w14:paraId="438A357D" w14:textId="77777777" w:rsidTr="0097332A">
        <w:trPr>
          <w:trHeight w:val="441"/>
          <w:jc w:val="center"/>
        </w:trPr>
        <w:tc>
          <w:tcPr>
            <w:tcW w:w="1712" w:type="dxa"/>
            <w:noWrap/>
            <w:vAlign w:val="center"/>
            <w:hideMark/>
          </w:tcPr>
          <w:p w14:paraId="438A3575" w14:textId="77777777" w:rsidR="00671517" w:rsidRPr="00671517" w:rsidRDefault="00671517" w:rsidP="00671517">
            <w:pP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Limburg</w:t>
            </w:r>
          </w:p>
        </w:tc>
        <w:tc>
          <w:tcPr>
            <w:tcW w:w="1183" w:type="dxa"/>
            <w:noWrap/>
            <w:vAlign w:val="center"/>
            <w:hideMark/>
          </w:tcPr>
          <w:p w14:paraId="438A3576"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688.</w:t>
            </w:r>
            <w:r w:rsidR="00671517" w:rsidRPr="00671517">
              <w:rPr>
                <w:rFonts w:asciiTheme="minorHAnsi" w:hAnsiTheme="minorHAnsi" w:cs="Arial"/>
                <w:color w:val="000000"/>
                <w:sz w:val="20"/>
                <w:szCs w:val="20"/>
                <w:lang w:val="nl-BE" w:eastAsia="nl-BE"/>
              </w:rPr>
              <w:t>132</w:t>
            </w:r>
          </w:p>
        </w:tc>
        <w:tc>
          <w:tcPr>
            <w:tcW w:w="1183" w:type="dxa"/>
            <w:noWrap/>
            <w:vAlign w:val="center"/>
            <w:hideMark/>
          </w:tcPr>
          <w:p w14:paraId="438A3577"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61.</w:t>
            </w:r>
            <w:r w:rsidR="00671517" w:rsidRPr="00671517">
              <w:rPr>
                <w:rFonts w:asciiTheme="minorHAnsi" w:hAnsiTheme="minorHAnsi" w:cs="Arial"/>
                <w:color w:val="000000"/>
                <w:sz w:val="20"/>
                <w:szCs w:val="20"/>
                <w:lang w:val="nl-BE" w:eastAsia="nl-BE"/>
              </w:rPr>
              <w:t>014</w:t>
            </w:r>
          </w:p>
        </w:tc>
        <w:tc>
          <w:tcPr>
            <w:tcW w:w="1183" w:type="dxa"/>
            <w:noWrap/>
            <w:vAlign w:val="center"/>
            <w:hideMark/>
          </w:tcPr>
          <w:p w14:paraId="438A3578"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71.</w:t>
            </w:r>
            <w:r w:rsidR="00671517" w:rsidRPr="00671517">
              <w:rPr>
                <w:rFonts w:asciiTheme="minorHAnsi" w:hAnsiTheme="minorHAnsi" w:cs="Arial"/>
                <w:color w:val="000000"/>
                <w:sz w:val="20"/>
                <w:szCs w:val="20"/>
                <w:lang w:val="nl-BE" w:eastAsia="nl-BE"/>
              </w:rPr>
              <w:t>154</w:t>
            </w:r>
          </w:p>
        </w:tc>
        <w:tc>
          <w:tcPr>
            <w:tcW w:w="1183" w:type="dxa"/>
            <w:noWrap/>
            <w:vAlign w:val="center"/>
            <w:hideMark/>
          </w:tcPr>
          <w:p w14:paraId="438A3579" w14:textId="77777777" w:rsidR="00671517" w:rsidRPr="00671517" w:rsidRDefault="00671517" w:rsidP="0097332A">
            <w:pPr>
              <w:jc w:val="right"/>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0</w:t>
            </w:r>
          </w:p>
        </w:tc>
        <w:tc>
          <w:tcPr>
            <w:tcW w:w="1183" w:type="dxa"/>
            <w:noWrap/>
            <w:vAlign w:val="center"/>
            <w:hideMark/>
          </w:tcPr>
          <w:p w14:paraId="438A357A"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284.</w:t>
            </w:r>
            <w:r w:rsidR="00671517" w:rsidRPr="00671517">
              <w:rPr>
                <w:rFonts w:asciiTheme="minorHAnsi" w:hAnsiTheme="minorHAnsi" w:cs="Arial"/>
                <w:color w:val="000000"/>
                <w:sz w:val="20"/>
                <w:szCs w:val="20"/>
                <w:lang w:val="nl-BE" w:eastAsia="nl-BE"/>
              </w:rPr>
              <w:t>334</w:t>
            </w:r>
          </w:p>
        </w:tc>
        <w:tc>
          <w:tcPr>
            <w:tcW w:w="1183" w:type="dxa"/>
            <w:noWrap/>
            <w:vAlign w:val="center"/>
            <w:hideMark/>
          </w:tcPr>
          <w:p w14:paraId="438A357B"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1.104.</w:t>
            </w:r>
            <w:r w:rsidR="00671517" w:rsidRPr="00671517">
              <w:rPr>
                <w:rFonts w:asciiTheme="minorHAnsi" w:hAnsiTheme="minorHAnsi" w:cs="Arial"/>
                <w:b/>
                <w:bCs/>
                <w:color w:val="000000"/>
                <w:sz w:val="20"/>
                <w:szCs w:val="20"/>
                <w:lang w:val="nl-BE" w:eastAsia="nl-BE"/>
              </w:rPr>
              <w:t>634</w:t>
            </w:r>
          </w:p>
        </w:tc>
        <w:tc>
          <w:tcPr>
            <w:tcW w:w="1183" w:type="dxa"/>
            <w:noWrap/>
            <w:vAlign w:val="center"/>
            <w:hideMark/>
          </w:tcPr>
          <w:p w14:paraId="438A357C"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4,11%</w:t>
            </w:r>
          </w:p>
        </w:tc>
      </w:tr>
      <w:tr w:rsidR="00671517" w:rsidRPr="00671517" w14:paraId="438A3586" w14:textId="77777777" w:rsidTr="0097332A">
        <w:trPr>
          <w:trHeight w:val="441"/>
          <w:jc w:val="center"/>
        </w:trPr>
        <w:tc>
          <w:tcPr>
            <w:tcW w:w="1712" w:type="dxa"/>
            <w:noWrap/>
            <w:vAlign w:val="center"/>
            <w:hideMark/>
          </w:tcPr>
          <w:p w14:paraId="438A357E" w14:textId="77777777" w:rsidR="00671517" w:rsidRPr="00671517" w:rsidRDefault="00671517" w:rsidP="00671517">
            <w:pP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Oost-Vlaanderen</w:t>
            </w:r>
          </w:p>
        </w:tc>
        <w:tc>
          <w:tcPr>
            <w:tcW w:w="1183" w:type="dxa"/>
            <w:noWrap/>
            <w:vAlign w:val="center"/>
            <w:hideMark/>
          </w:tcPr>
          <w:p w14:paraId="438A357F" w14:textId="77777777" w:rsidR="00671517" w:rsidRPr="00671517" w:rsidRDefault="00671517" w:rsidP="0097332A">
            <w:pPr>
              <w:jc w:val="right"/>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0</w:t>
            </w:r>
          </w:p>
        </w:tc>
        <w:tc>
          <w:tcPr>
            <w:tcW w:w="1183" w:type="dxa"/>
            <w:noWrap/>
            <w:vAlign w:val="center"/>
            <w:hideMark/>
          </w:tcPr>
          <w:p w14:paraId="438A3580"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454.</w:t>
            </w:r>
            <w:r w:rsidR="00671517" w:rsidRPr="00671517">
              <w:rPr>
                <w:rFonts w:asciiTheme="minorHAnsi" w:hAnsiTheme="minorHAnsi" w:cs="Arial"/>
                <w:color w:val="000000"/>
                <w:sz w:val="20"/>
                <w:szCs w:val="20"/>
                <w:lang w:val="nl-BE" w:eastAsia="nl-BE"/>
              </w:rPr>
              <w:t>473</w:t>
            </w:r>
          </w:p>
        </w:tc>
        <w:tc>
          <w:tcPr>
            <w:tcW w:w="1183" w:type="dxa"/>
            <w:noWrap/>
            <w:vAlign w:val="center"/>
            <w:hideMark/>
          </w:tcPr>
          <w:p w14:paraId="438A3581"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1.556.</w:t>
            </w:r>
            <w:r w:rsidR="00671517" w:rsidRPr="00671517">
              <w:rPr>
                <w:rFonts w:asciiTheme="minorHAnsi" w:hAnsiTheme="minorHAnsi" w:cs="Arial"/>
                <w:color w:val="000000"/>
                <w:sz w:val="20"/>
                <w:szCs w:val="20"/>
                <w:lang w:val="nl-BE" w:eastAsia="nl-BE"/>
              </w:rPr>
              <w:t>057</w:t>
            </w:r>
          </w:p>
        </w:tc>
        <w:tc>
          <w:tcPr>
            <w:tcW w:w="1183" w:type="dxa"/>
            <w:noWrap/>
            <w:vAlign w:val="center"/>
            <w:hideMark/>
          </w:tcPr>
          <w:p w14:paraId="438A3582"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524.</w:t>
            </w:r>
            <w:r w:rsidR="00671517" w:rsidRPr="00671517">
              <w:rPr>
                <w:rFonts w:asciiTheme="minorHAnsi" w:hAnsiTheme="minorHAnsi" w:cs="Arial"/>
                <w:color w:val="000000"/>
                <w:sz w:val="20"/>
                <w:szCs w:val="20"/>
                <w:lang w:val="nl-BE" w:eastAsia="nl-BE"/>
              </w:rPr>
              <w:t>184</w:t>
            </w:r>
          </w:p>
        </w:tc>
        <w:tc>
          <w:tcPr>
            <w:tcW w:w="1183" w:type="dxa"/>
            <w:noWrap/>
            <w:vAlign w:val="center"/>
            <w:hideMark/>
          </w:tcPr>
          <w:p w14:paraId="438A3583"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623.</w:t>
            </w:r>
            <w:r w:rsidR="00671517" w:rsidRPr="00671517">
              <w:rPr>
                <w:rFonts w:asciiTheme="minorHAnsi" w:hAnsiTheme="minorHAnsi" w:cs="Arial"/>
                <w:color w:val="000000"/>
                <w:sz w:val="20"/>
                <w:szCs w:val="20"/>
                <w:lang w:val="nl-BE" w:eastAsia="nl-BE"/>
              </w:rPr>
              <w:t>863</w:t>
            </w:r>
          </w:p>
        </w:tc>
        <w:tc>
          <w:tcPr>
            <w:tcW w:w="1183" w:type="dxa"/>
            <w:noWrap/>
            <w:vAlign w:val="center"/>
            <w:hideMark/>
          </w:tcPr>
          <w:p w14:paraId="438A3584"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3.158.</w:t>
            </w:r>
            <w:r w:rsidR="00671517" w:rsidRPr="00671517">
              <w:rPr>
                <w:rFonts w:asciiTheme="minorHAnsi" w:hAnsiTheme="minorHAnsi" w:cs="Arial"/>
                <w:b/>
                <w:bCs/>
                <w:color w:val="000000"/>
                <w:sz w:val="20"/>
                <w:szCs w:val="20"/>
                <w:lang w:val="nl-BE" w:eastAsia="nl-BE"/>
              </w:rPr>
              <w:t>577</w:t>
            </w:r>
          </w:p>
        </w:tc>
        <w:tc>
          <w:tcPr>
            <w:tcW w:w="1183" w:type="dxa"/>
            <w:noWrap/>
            <w:vAlign w:val="center"/>
            <w:hideMark/>
          </w:tcPr>
          <w:p w14:paraId="438A3585"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11,75%</w:t>
            </w:r>
          </w:p>
        </w:tc>
      </w:tr>
      <w:tr w:rsidR="00671517" w:rsidRPr="00671517" w14:paraId="438A358F" w14:textId="77777777" w:rsidTr="0097332A">
        <w:trPr>
          <w:trHeight w:val="441"/>
          <w:jc w:val="center"/>
        </w:trPr>
        <w:tc>
          <w:tcPr>
            <w:tcW w:w="1712" w:type="dxa"/>
            <w:noWrap/>
            <w:vAlign w:val="center"/>
            <w:hideMark/>
          </w:tcPr>
          <w:p w14:paraId="438A3587" w14:textId="77777777" w:rsidR="00671517" w:rsidRPr="00671517" w:rsidRDefault="00671517" w:rsidP="00671517">
            <w:pP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West-Vlaanderen</w:t>
            </w:r>
          </w:p>
        </w:tc>
        <w:tc>
          <w:tcPr>
            <w:tcW w:w="1183" w:type="dxa"/>
            <w:noWrap/>
            <w:vAlign w:val="center"/>
            <w:hideMark/>
          </w:tcPr>
          <w:p w14:paraId="438A3588"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646.</w:t>
            </w:r>
            <w:r w:rsidR="00671517" w:rsidRPr="00671517">
              <w:rPr>
                <w:rFonts w:asciiTheme="minorHAnsi" w:hAnsiTheme="minorHAnsi" w:cs="Arial"/>
                <w:color w:val="000000"/>
                <w:sz w:val="20"/>
                <w:szCs w:val="20"/>
                <w:lang w:val="nl-BE" w:eastAsia="nl-BE"/>
              </w:rPr>
              <w:t>622</w:t>
            </w:r>
          </w:p>
        </w:tc>
        <w:tc>
          <w:tcPr>
            <w:tcW w:w="1183" w:type="dxa"/>
            <w:noWrap/>
            <w:vAlign w:val="center"/>
            <w:hideMark/>
          </w:tcPr>
          <w:p w14:paraId="438A3589"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726.</w:t>
            </w:r>
            <w:r w:rsidR="00671517" w:rsidRPr="00671517">
              <w:rPr>
                <w:rFonts w:asciiTheme="minorHAnsi" w:hAnsiTheme="minorHAnsi" w:cs="Arial"/>
                <w:color w:val="000000"/>
                <w:sz w:val="20"/>
                <w:szCs w:val="20"/>
                <w:lang w:val="nl-BE" w:eastAsia="nl-BE"/>
              </w:rPr>
              <w:t>208</w:t>
            </w:r>
          </w:p>
        </w:tc>
        <w:tc>
          <w:tcPr>
            <w:tcW w:w="1183" w:type="dxa"/>
            <w:noWrap/>
            <w:vAlign w:val="center"/>
            <w:hideMark/>
          </w:tcPr>
          <w:p w14:paraId="438A358A"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2.272.</w:t>
            </w:r>
            <w:r w:rsidR="00671517" w:rsidRPr="00671517">
              <w:rPr>
                <w:rFonts w:asciiTheme="minorHAnsi" w:hAnsiTheme="minorHAnsi" w:cs="Arial"/>
                <w:color w:val="000000"/>
                <w:sz w:val="20"/>
                <w:szCs w:val="20"/>
                <w:lang w:val="nl-BE" w:eastAsia="nl-BE"/>
              </w:rPr>
              <w:t>406</w:t>
            </w:r>
          </w:p>
        </w:tc>
        <w:tc>
          <w:tcPr>
            <w:tcW w:w="1183" w:type="dxa"/>
            <w:noWrap/>
            <w:vAlign w:val="center"/>
            <w:hideMark/>
          </w:tcPr>
          <w:p w14:paraId="438A358B"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1.248.</w:t>
            </w:r>
            <w:r w:rsidR="00671517" w:rsidRPr="00671517">
              <w:rPr>
                <w:rFonts w:asciiTheme="minorHAnsi" w:hAnsiTheme="minorHAnsi" w:cs="Arial"/>
                <w:color w:val="000000"/>
                <w:sz w:val="20"/>
                <w:szCs w:val="20"/>
                <w:lang w:val="nl-BE" w:eastAsia="nl-BE"/>
              </w:rPr>
              <w:t>593</w:t>
            </w:r>
          </w:p>
        </w:tc>
        <w:tc>
          <w:tcPr>
            <w:tcW w:w="1183" w:type="dxa"/>
            <w:noWrap/>
            <w:vAlign w:val="center"/>
            <w:hideMark/>
          </w:tcPr>
          <w:p w14:paraId="438A358C"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3.998.</w:t>
            </w:r>
            <w:r w:rsidR="00671517" w:rsidRPr="00671517">
              <w:rPr>
                <w:rFonts w:asciiTheme="minorHAnsi" w:hAnsiTheme="minorHAnsi" w:cs="Arial"/>
                <w:color w:val="000000"/>
                <w:sz w:val="20"/>
                <w:szCs w:val="20"/>
                <w:lang w:val="nl-BE" w:eastAsia="nl-BE"/>
              </w:rPr>
              <w:t>181</w:t>
            </w:r>
          </w:p>
        </w:tc>
        <w:tc>
          <w:tcPr>
            <w:tcW w:w="1183" w:type="dxa"/>
            <w:noWrap/>
            <w:vAlign w:val="center"/>
            <w:hideMark/>
          </w:tcPr>
          <w:p w14:paraId="438A358D" w14:textId="77777777" w:rsidR="00671517" w:rsidRPr="00671517" w:rsidRDefault="00671517" w:rsidP="0097332A">
            <w:pPr>
              <w:jc w:val="right"/>
              <w:rPr>
                <w:rFonts w:asciiTheme="minorHAnsi" w:hAnsiTheme="minorHAnsi" w:cs="Arial"/>
                <w:b/>
                <w:bCs/>
                <w:color w:val="000000"/>
                <w:sz w:val="20"/>
                <w:szCs w:val="20"/>
                <w:lang w:val="nl-BE" w:eastAsia="nl-BE"/>
              </w:rPr>
            </w:pPr>
            <w:r w:rsidRPr="00671517">
              <w:rPr>
                <w:rFonts w:asciiTheme="minorHAnsi" w:hAnsiTheme="minorHAnsi" w:cs="Arial"/>
                <w:b/>
                <w:bCs/>
                <w:color w:val="000000"/>
                <w:sz w:val="20"/>
                <w:szCs w:val="20"/>
                <w:lang w:val="nl-BE" w:eastAsia="nl-BE"/>
              </w:rPr>
              <w:t>8</w:t>
            </w:r>
            <w:r w:rsidR="0097332A">
              <w:rPr>
                <w:rFonts w:asciiTheme="minorHAnsi" w:hAnsiTheme="minorHAnsi" w:cs="Arial"/>
                <w:b/>
                <w:bCs/>
                <w:color w:val="000000"/>
                <w:sz w:val="20"/>
                <w:szCs w:val="20"/>
                <w:lang w:val="nl-BE" w:eastAsia="nl-BE"/>
              </w:rPr>
              <w:t>.</w:t>
            </w:r>
            <w:r w:rsidRPr="00671517">
              <w:rPr>
                <w:rFonts w:asciiTheme="minorHAnsi" w:hAnsiTheme="minorHAnsi" w:cs="Arial"/>
                <w:b/>
                <w:bCs/>
                <w:color w:val="000000"/>
                <w:sz w:val="20"/>
                <w:szCs w:val="20"/>
                <w:lang w:val="nl-BE" w:eastAsia="nl-BE"/>
              </w:rPr>
              <w:t>892</w:t>
            </w:r>
            <w:r w:rsidR="0097332A">
              <w:rPr>
                <w:rFonts w:asciiTheme="minorHAnsi" w:hAnsiTheme="minorHAnsi" w:cs="Arial"/>
                <w:b/>
                <w:bCs/>
                <w:color w:val="000000"/>
                <w:sz w:val="20"/>
                <w:szCs w:val="20"/>
                <w:lang w:val="nl-BE" w:eastAsia="nl-BE"/>
              </w:rPr>
              <w:t>.</w:t>
            </w:r>
            <w:r w:rsidRPr="00671517">
              <w:rPr>
                <w:rFonts w:asciiTheme="minorHAnsi" w:hAnsiTheme="minorHAnsi" w:cs="Arial"/>
                <w:b/>
                <w:bCs/>
                <w:color w:val="000000"/>
                <w:sz w:val="20"/>
                <w:szCs w:val="20"/>
                <w:lang w:val="nl-BE" w:eastAsia="nl-BE"/>
              </w:rPr>
              <w:t>010</w:t>
            </w:r>
          </w:p>
        </w:tc>
        <w:tc>
          <w:tcPr>
            <w:tcW w:w="1183" w:type="dxa"/>
            <w:noWrap/>
            <w:vAlign w:val="center"/>
            <w:hideMark/>
          </w:tcPr>
          <w:p w14:paraId="438A358E"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33,07%</w:t>
            </w:r>
          </w:p>
        </w:tc>
      </w:tr>
      <w:tr w:rsidR="00671517" w:rsidRPr="00671517" w14:paraId="438A3598" w14:textId="77777777" w:rsidTr="0097332A">
        <w:trPr>
          <w:trHeight w:val="441"/>
          <w:jc w:val="center"/>
        </w:trPr>
        <w:tc>
          <w:tcPr>
            <w:tcW w:w="1712" w:type="dxa"/>
            <w:noWrap/>
            <w:vAlign w:val="center"/>
            <w:hideMark/>
          </w:tcPr>
          <w:p w14:paraId="438A3590" w14:textId="77777777" w:rsidR="00671517" w:rsidRPr="00671517" w:rsidRDefault="00671517" w:rsidP="00671517">
            <w:pP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Vlaams-Brabant</w:t>
            </w:r>
          </w:p>
        </w:tc>
        <w:tc>
          <w:tcPr>
            <w:tcW w:w="1183" w:type="dxa"/>
            <w:noWrap/>
            <w:vAlign w:val="center"/>
            <w:hideMark/>
          </w:tcPr>
          <w:p w14:paraId="438A3591"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463.</w:t>
            </w:r>
            <w:r w:rsidR="00671517" w:rsidRPr="00671517">
              <w:rPr>
                <w:rFonts w:asciiTheme="minorHAnsi" w:hAnsiTheme="minorHAnsi" w:cs="Arial"/>
                <w:color w:val="000000"/>
                <w:sz w:val="20"/>
                <w:szCs w:val="20"/>
                <w:lang w:val="nl-BE" w:eastAsia="nl-BE"/>
              </w:rPr>
              <w:t>845</w:t>
            </w:r>
          </w:p>
        </w:tc>
        <w:tc>
          <w:tcPr>
            <w:tcW w:w="1183" w:type="dxa"/>
            <w:noWrap/>
            <w:vAlign w:val="center"/>
            <w:hideMark/>
          </w:tcPr>
          <w:p w14:paraId="438A3592"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2.952.</w:t>
            </w:r>
            <w:r w:rsidR="00671517" w:rsidRPr="00671517">
              <w:rPr>
                <w:rFonts w:asciiTheme="minorHAnsi" w:hAnsiTheme="minorHAnsi" w:cs="Arial"/>
                <w:color w:val="000000"/>
                <w:sz w:val="20"/>
                <w:szCs w:val="20"/>
                <w:lang w:val="nl-BE" w:eastAsia="nl-BE"/>
              </w:rPr>
              <w:t>566</w:t>
            </w:r>
          </w:p>
        </w:tc>
        <w:tc>
          <w:tcPr>
            <w:tcW w:w="1183" w:type="dxa"/>
            <w:noWrap/>
            <w:vAlign w:val="center"/>
            <w:hideMark/>
          </w:tcPr>
          <w:p w14:paraId="438A3593" w14:textId="77777777" w:rsidR="00671517" w:rsidRPr="00671517" w:rsidRDefault="0097332A" w:rsidP="0097332A">
            <w:pPr>
              <w:jc w:val="right"/>
              <w:rPr>
                <w:rFonts w:asciiTheme="minorHAnsi" w:hAnsiTheme="minorHAnsi" w:cs="Arial"/>
                <w:color w:val="000000"/>
                <w:sz w:val="20"/>
                <w:szCs w:val="20"/>
                <w:lang w:val="nl-BE" w:eastAsia="nl-BE"/>
              </w:rPr>
            </w:pPr>
            <w:r>
              <w:rPr>
                <w:rFonts w:asciiTheme="minorHAnsi" w:hAnsiTheme="minorHAnsi" w:cs="Arial"/>
                <w:color w:val="000000"/>
                <w:sz w:val="20"/>
                <w:szCs w:val="20"/>
                <w:lang w:val="nl-BE" w:eastAsia="nl-BE"/>
              </w:rPr>
              <w:t>402.</w:t>
            </w:r>
            <w:r w:rsidR="00671517" w:rsidRPr="00671517">
              <w:rPr>
                <w:rFonts w:asciiTheme="minorHAnsi" w:hAnsiTheme="minorHAnsi" w:cs="Arial"/>
                <w:color w:val="000000"/>
                <w:sz w:val="20"/>
                <w:szCs w:val="20"/>
                <w:lang w:val="nl-BE" w:eastAsia="nl-BE"/>
              </w:rPr>
              <w:t>465</w:t>
            </w:r>
          </w:p>
        </w:tc>
        <w:tc>
          <w:tcPr>
            <w:tcW w:w="1183" w:type="dxa"/>
            <w:noWrap/>
            <w:vAlign w:val="center"/>
            <w:hideMark/>
          </w:tcPr>
          <w:p w14:paraId="438A3594" w14:textId="77777777" w:rsidR="00671517" w:rsidRPr="00671517" w:rsidRDefault="00671517" w:rsidP="0097332A">
            <w:pPr>
              <w:jc w:val="right"/>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0</w:t>
            </w:r>
          </w:p>
        </w:tc>
        <w:tc>
          <w:tcPr>
            <w:tcW w:w="1183" w:type="dxa"/>
            <w:noWrap/>
            <w:vAlign w:val="center"/>
            <w:hideMark/>
          </w:tcPr>
          <w:p w14:paraId="438A3595" w14:textId="77777777" w:rsidR="00671517" w:rsidRPr="00671517" w:rsidRDefault="00671517" w:rsidP="0097332A">
            <w:pPr>
              <w:jc w:val="right"/>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0</w:t>
            </w:r>
          </w:p>
        </w:tc>
        <w:tc>
          <w:tcPr>
            <w:tcW w:w="1183" w:type="dxa"/>
            <w:noWrap/>
            <w:vAlign w:val="center"/>
            <w:hideMark/>
          </w:tcPr>
          <w:p w14:paraId="438A3596"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3.818.</w:t>
            </w:r>
            <w:r w:rsidR="00671517" w:rsidRPr="00671517">
              <w:rPr>
                <w:rFonts w:asciiTheme="minorHAnsi" w:hAnsiTheme="minorHAnsi" w:cs="Arial"/>
                <w:b/>
                <w:bCs/>
                <w:color w:val="000000"/>
                <w:sz w:val="20"/>
                <w:szCs w:val="20"/>
                <w:lang w:val="nl-BE" w:eastAsia="nl-BE"/>
              </w:rPr>
              <w:t>877</w:t>
            </w:r>
          </w:p>
        </w:tc>
        <w:tc>
          <w:tcPr>
            <w:tcW w:w="1183" w:type="dxa"/>
            <w:noWrap/>
            <w:vAlign w:val="center"/>
            <w:hideMark/>
          </w:tcPr>
          <w:p w14:paraId="438A3597"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14,20%</w:t>
            </w:r>
          </w:p>
        </w:tc>
      </w:tr>
      <w:tr w:rsidR="00671517" w:rsidRPr="00671517" w14:paraId="438A35A1" w14:textId="77777777" w:rsidTr="0097332A">
        <w:trPr>
          <w:trHeight w:val="441"/>
          <w:jc w:val="center"/>
        </w:trPr>
        <w:tc>
          <w:tcPr>
            <w:tcW w:w="1712" w:type="dxa"/>
            <w:noWrap/>
            <w:vAlign w:val="center"/>
            <w:hideMark/>
          </w:tcPr>
          <w:p w14:paraId="438A3599" w14:textId="77777777" w:rsidR="00671517" w:rsidRPr="00671517" w:rsidRDefault="00671517" w:rsidP="00671517">
            <w:pPr>
              <w:rPr>
                <w:rFonts w:asciiTheme="minorHAnsi" w:hAnsiTheme="minorHAnsi" w:cs="Arial"/>
                <w:b/>
                <w:bCs/>
                <w:color w:val="000000"/>
                <w:sz w:val="20"/>
                <w:szCs w:val="20"/>
                <w:lang w:val="nl-BE" w:eastAsia="nl-BE"/>
              </w:rPr>
            </w:pPr>
            <w:r w:rsidRPr="00671517">
              <w:rPr>
                <w:rFonts w:asciiTheme="minorHAnsi" w:hAnsiTheme="minorHAnsi" w:cs="Arial"/>
                <w:b/>
                <w:bCs/>
                <w:color w:val="000000"/>
                <w:sz w:val="20"/>
                <w:szCs w:val="20"/>
                <w:lang w:val="nl-BE" w:eastAsia="nl-BE"/>
              </w:rPr>
              <w:t>Totaal in EUR</w:t>
            </w:r>
          </w:p>
        </w:tc>
        <w:tc>
          <w:tcPr>
            <w:tcW w:w="1183" w:type="dxa"/>
            <w:noWrap/>
            <w:vAlign w:val="center"/>
            <w:hideMark/>
          </w:tcPr>
          <w:p w14:paraId="438A359A" w14:textId="77777777" w:rsidR="00671517" w:rsidRPr="00671517" w:rsidRDefault="00671517" w:rsidP="0097332A">
            <w:pPr>
              <w:jc w:val="right"/>
              <w:rPr>
                <w:rFonts w:asciiTheme="minorHAnsi" w:hAnsiTheme="minorHAnsi" w:cs="Arial"/>
                <w:b/>
                <w:bCs/>
                <w:color w:val="000000"/>
                <w:sz w:val="20"/>
                <w:szCs w:val="20"/>
                <w:lang w:val="nl-BE" w:eastAsia="nl-BE"/>
              </w:rPr>
            </w:pPr>
            <w:r w:rsidRPr="00671517">
              <w:rPr>
                <w:rFonts w:asciiTheme="minorHAnsi" w:hAnsiTheme="minorHAnsi" w:cs="Arial"/>
                <w:b/>
                <w:bCs/>
                <w:color w:val="000000"/>
                <w:sz w:val="20"/>
                <w:szCs w:val="20"/>
                <w:lang w:val="nl-BE" w:eastAsia="nl-BE"/>
              </w:rPr>
              <w:t>3</w:t>
            </w:r>
            <w:r w:rsidR="0097332A">
              <w:rPr>
                <w:rFonts w:asciiTheme="minorHAnsi" w:hAnsiTheme="minorHAnsi" w:cs="Arial"/>
                <w:b/>
                <w:bCs/>
                <w:color w:val="000000"/>
                <w:sz w:val="20"/>
                <w:szCs w:val="20"/>
                <w:lang w:val="nl-BE" w:eastAsia="nl-BE"/>
              </w:rPr>
              <w:t>.</w:t>
            </w:r>
            <w:r w:rsidRPr="00671517">
              <w:rPr>
                <w:rFonts w:asciiTheme="minorHAnsi" w:hAnsiTheme="minorHAnsi" w:cs="Arial"/>
                <w:b/>
                <w:bCs/>
                <w:color w:val="000000"/>
                <w:sz w:val="20"/>
                <w:szCs w:val="20"/>
                <w:lang w:val="nl-BE" w:eastAsia="nl-BE"/>
              </w:rPr>
              <w:t xml:space="preserve"> 160</w:t>
            </w:r>
            <w:r w:rsidR="0097332A">
              <w:rPr>
                <w:rFonts w:asciiTheme="minorHAnsi" w:hAnsiTheme="minorHAnsi" w:cs="Arial"/>
                <w:b/>
                <w:bCs/>
                <w:color w:val="000000"/>
                <w:sz w:val="20"/>
                <w:szCs w:val="20"/>
                <w:lang w:val="nl-BE" w:eastAsia="nl-BE"/>
              </w:rPr>
              <w:t>.</w:t>
            </w:r>
            <w:r w:rsidRPr="00671517">
              <w:rPr>
                <w:rFonts w:asciiTheme="minorHAnsi" w:hAnsiTheme="minorHAnsi" w:cs="Arial"/>
                <w:b/>
                <w:bCs/>
                <w:color w:val="000000"/>
                <w:sz w:val="20"/>
                <w:szCs w:val="20"/>
                <w:lang w:val="nl-BE" w:eastAsia="nl-BE"/>
              </w:rPr>
              <w:t xml:space="preserve"> 802</w:t>
            </w:r>
          </w:p>
        </w:tc>
        <w:tc>
          <w:tcPr>
            <w:tcW w:w="1183" w:type="dxa"/>
            <w:noWrap/>
            <w:vAlign w:val="center"/>
            <w:hideMark/>
          </w:tcPr>
          <w:p w14:paraId="438A359B"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4.975.</w:t>
            </w:r>
            <w:r w:rsidR="00671517" w:rsidRPr="00671517">
              <w:rPr>
                <w:rFonts w:asciiTheme="minorHAnsi" w:hAnsiTheme="minorHAnsi" w:cs="Arial"/>
                <w:b/>
                <w:bCs/>
                <w:color w:val="000000"/>
                <w:sz w:val="20"/>
                <w:szCs w:val="20"/>
                <w:lang w:val="nl-BE" w:eastAsia="nl-BE"/>
              </w:rPr>
              <w:t>936</w:t>
            </w:r>
          </w:p>
        </w:tc>
        <w:tc>
          <w:tcPr>
            <w:tcW w:w="1183" w:type="dxa"/>
            <w:noWrap/>
            <w:vAlign w:val="center"/>
            <w:hideMark/>
          </w:tcPr>
          <w:p w14:paraId="438A359C"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8.217.</w:t>
            </w:r>
            <w:r w:rsidR="00671517" w:rsidRPr="00671517">
              <w:rPr>
                <w:rFonts w:asciiTheme="minorHAnsi" w:hAnsiTheme="minorHAnsi" w:cs="Arial"/>
                <w:b/>
                <w:bCs/>
                <w:color w:val="000000"/>
                <w:sz w:val="20"/>
                <w:szCs w:val="20"/>
                <w:lang w:val="nl-BE" w:eastAsia="nl-BE"/>
              </w:rPr>
              <w:t>445</w:t>
            </w:r>
          </w:p>
        </w:tc>
        <w:tc>
          <w:tcPr>
            <w:tcW w:w="1183" w:type="dxa"/>
            <w:noWrap/>
            <w:vAlign w:val="center"/>
            <w:hideMark/>
          </w:tcPr>
          <w:p w14:paraId="438A359D"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3.973.</w:t>
            </w:r>
            <w:r w:rsidR="00671517" w:rsidRPr="00671517">
              <w:rPr>
                <w:rFonts w:asciiTheme="minorHAnsi" w:hAnsiTheme="minorHAnsi" w:cs="Arial"/>
                <w:b/>
                <w:bCs/>
                <w:color w:val="000000"/>
                <w:sz w:val="20"/>
                <w:szCs w:val="20"/>
                <w:lang w:val="nl-BE" w:eastAsia="nl-BE"/>
              </w:rPr>
              <w:t>832</w:t>
            </w:r>
          </w:p>
        </w:tc>
        <w:tc>
          <w:tcPr>
            <w:tcW w:w="1183" w:type="dxa"/>
            <w:noWrap/>
            <w:vAlign w:val="center"/>
            <w:hideMark/>
          </w:tcPr>
          <w:p w14:paraId="438A359E"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6.562.</w:t>
            </w:r>
            <w:r w:rsidR="00671517" w:rsidRPr="00671517">
              <w:rPr>
                <w:rFonts w:asciiTheme="minorHAnsi" w:hAnsiTheme="minorHAnsi" w:cs="Arial"/>
                <w:b/>
                <w:bCs/>
                <w:color w:val="000000"/>
                <w:sz w:val="20"/>
                <w:szCs w:val="20"/>
                <w:lang w:val="nl-BE" w:eastAsia="nl-BE"/>
              </w:rPr>
              <w:t>468</w:t>
            </w:r>
          </w:p>
        </w:tc>
        <w:tc>
          <w:tcPr>
            <w:tcW w:w="1183" w:type="dxa"/>
            <w:noWrap/>
            <w:vAlign w:val="center"/>
            <w:hideMark/>
          </w:tcPr>
          <w:p w14:paraId="438A359F" w14:textId="77777777" w:rsidR="00671517" w:rsidRPr="00671517" w:rsidRDefault="0097332A" w:rsidP="0097332A">
            <w:pPr>
              <w:jc w:val="right"/>
              <w:rPr>
                <w:rFonts w:asciiTheme="minorHAnsi" w:hAnsiTheme="minorHAnsi" w:cs="Arial"/>
                <w:b/>
                <w:bCs/>
                <w:color w:val="000000"/>
                <w:sz w:val="20"/>
                <w:szCs w:val="20"/>
                <w:lang w:val="nl-BE" w:eastAsia="nl-BE"/>
              </w:rPr>
            </w:pPr>
            <w:r>
              <w:rPr>
                <w:rFonts w:asciiTheme="minorHAnsi" w:hAnsiTheme="minorHAnsi" w:cs="Arial"/>
                <w:b/>
                <w:bCs/>
                <w:color w:val="000000"/>
                <w:sz w:val="20"/>
                <w:szCs w:val="20"/>
                <w:lang w:val="nl-BE" w:eastAsia="nl-BE"/>
              </w:rPr>
              <w:t>26.890.</w:t>
            </w:r>
            <w:r w:rsidR="00671517" w:rsidRPr="00671517">
              <w:rPr>
                <w:rFonts w:asciiTheme="minorHAnsi" w:hAnsiTheme="minorHAnsi" w:cs="Arial"/>
                <w:b/>
                <w:bCs/>
                <w:color w:val="000000"/>
                <w:sz w:val="20"/>
                <w:szCs w:val="20"/>
                <w:lang w:val="nl-BE" w:eastAsia="nl-BE"/>
              </w:rPr>
              <w:t>483</w:t>
            </w:r>
          </w:p>
        </w:tc>
        <w:tc>
          <w:tcPr>
            <w:tcW w:w="1183" w:type="dxa"/>
            <w:noWrap/>
            <w:vAlign w:val="center"/>
            <w:hideMark/>
          </w:tcPr>
          <w:p w14:paraId="438A35A0" w14:textId="77777777" w:rsidR="00671517" w:rsidRPr="00671517" w:rsidRDefault="00671517" w:rsidP="00671517">
            <w:pPr>
              <w:jc w:val="center"/>
              <w:rPr>
                <w:rFonts w:asciiTheme="minorHAnsi" w:hAnsiTheme="minorHAnsi" w:cs="Arial"/>
                <w:color w:val="000000"/>
                <w:sz w:val="20"/>
                <w:szCs w:val="20"/>
                <w:lang w:val="nl-BE" w:eastAsia="nl-BE"/>
              </w:rPr>
            </w:pPr>
            <w:r w:rsidRPr="00671517">
              <w:rPr>
                <w:rFonts w:asciiTheme="minorHAnsi" w:hAnsiTheme="minorHAnsi" w:cs="Arial"/>
                <w:color w:val="000000"/>
                <w:sz w:val="20"/>
                <w:szCs w:val="20"/>
                <w:lang w:val="nl-BE" w:eastAsia="nl-BE"/>
              </w:rPr>
              <w:t>100,00%</w:t>
            </w:r>
          </w:p>
        </w:tc>
      </w:tr>
    </w:tbl>
    <w:p w14:paraId="438A35A2" w14:textId="77777777" w:rsidR="00671517" w:rsidRDefault="00671517" w:rsidP="00671517">
      <w:pPr>
        <w:jc w:val="both"/>
        <w:rPr>
          <w:rFonts w:ascii="Verdana" w:hAnsi="Verdana"/>
          <w:sz w:val="18"/>
          <w:szCs w:val="18"/>
          <w:lang w:val="nl-BE"/>
        </w:rPr>
      </w:pPr>
    </w:p>
    <w:p w14:paraId="438A35A3" w14:textId="77777777" w:rsidR="00481C1D" w:rsidRDefault="00481C1D" w:rsidP="00671517">
      <w:pPr>
        <w:jc w:val="both"/>
        <w:rPr>
          <w:rFonts w:ascii="Verdana" w:hAnsi="Verdana"/>
          <w:sz w:val="18"/>
          <w:szCs w:val="18"/>
          <w:lang w:val="nl-BE"/>
        </w:rPr>
      </w:pPr>
    </w:p>
    <w:p w14:paraId="438A35A4" w14:textId="77777777" w:rsidR="00481C1D" w:rsidRDefault="00481C1D" w:rsidP="00671517">
      <w:pPr>
        <w:jc w:val="both"/>
        <w:rPr>
          <w:rFonts w:ascii="Verdana" w:hAnsi="Verdana"/>
          <w:sz w:val="18"/>
          <w:szCs w:val="18"/>
          <w:lang w:val="nl-BE"/>
        </w:rPr>
      </w:pPr>
    </w:p>
    <w:p w14:paraId="438A35A5" w14:textId="77777777" w:rsidR="00481C1D" w:rsidRDefault="00481C1D" w:rsidP="00671517">
      <w:pPr>
        <w:jc w:val="both"/>
        <w:rPr>
          <w:rFonts w:ascii="Verdana" w:hAnsi="Verdana"/>
          <w:sz w:val="18"/>
          <w:szCs w:val="18"/>
          <w:lang w:val="nl-BE"/>
        </w:rPr>
      </w:pPr>
    </w:p>
    <w:p w14:paraId="438A35A6" w14:textId="77777777" w:rsidR="00481C1D" w:rsidRDefault="00481C1D" w:rsidP="00671517">
      <w:pPr>
        <w:jc w:val="both"/>
        <w:rPr>
          <w:rFonts w:ascii="Verdana" w:hAnsi="Verdana"/>
          <w:sz w:val="18"/>
          <w:szCs w:val="18"/>
          <w:lang w:val="nl-BE"/>
        </w:rPr>
      </w:pPr>
    </w:p>
    <w:p w14:paraId="438A35A7" w14:textId="77777777" w:rsidR="00481C1D" w:rsidRDefault="00481C1D" w:rsidP="00671517">
      <w:pPr>
        <w:jc w:val="both"/>
        <w:rPr>
          <w:rFonts w:ascii="Verdana" w:hAnsi="Verdana"/>
          <w:sz w:val="18"/>
          <w:szCs w:val="18"/>
          <w:lang w:val="nl-BE"/>
        </w:rPr>
      </w:pPr>
    </w:p>
    <w:p w14:paraId="438A35A8" w14:textId="77777777" w:rsidR="00481C1D" w:rsidRDefault="00481C1D" w:rsidP="00671517">
      <w:pPr>
        <w:jc w:val="both"/>
        <w:rPr>
          <w:rFonts w:ascii="Verdana" w:hAnsi="Verdana"/>
          <w:sz w:val="18"/>
          <w:szCs w:val="18"/>
          <w:lang w:val="nl-BE"/>
        </w:rPr>
      </w:pPr>
    </w:p>
    <w:p w14:paraId="438A35A9" w14:textId="77777777" w:rsidR="00481C1D" w:rsidRDefault="00481C1D" w:rsidP="00671517">
      <w:pPr>
        <w:jc w:val="both"/>
        <w:rPr>
          <w:rFonts w:ascii="Verdana" w:hAnsi="Verdana"/>
          <w:sz w:val="18"/>
          <w:szCs w:val="18"/>
          <w:lang w:val="nl-BE"/>
        </w:rPr>
      </w:pPr>
    </w:p>
    <w:p w14:paraId="438A35AA" w14:textId="77777777" w:rsidR="00481C1D" w:rsidRDefault="00481C1D" w:rsidP="00671517">
      <w:pPr>
        <w:jc w:val="both"/>
        <w:rPr>
          <w:rFonts w:ascii="Verdana" w:hAnsi="Verdana"/>
          <w:sz w:val="18"/>
          <w:szCs w:val="18"/>
          <w:lang w:val="nl-BE"/>
        </w:rPr>
      </w:pPr>
    </w:p>
    <w:p w14:paraId="438A35AB" w14:textId="77777777" w:rsidR="00481C1D" w:rsidRDefault="00481C1D" w:rsidP="00671517">
      <w:pPr>
        <w:jc w:val="both"/>
        <w:rPr>
          <w:rFonts w:ascii="Verdana" w:hAnsi="Verdana"/>
          <w:sz w:val="18"/>
          <w:szCs w:val="18"/>
          <w:lang w:val="nl-BE"/>
        </w:rPr>
      </w:pPr>
    </w:p>
    <w:p w14:paraId="438A35AC" w14:textId="77777777" w:rsidR="00481C1D" w:rsidRDefault="00481C1D" w:rsidP="00671517">
      <w:pPr>
        <w:jc w:val="both"/>
        <w:rPr>
          <w:rFonts w:ascii="Verdana" w:hAnsi="Verdana"/>
          <w:sz w:val="18"/>
          <w:szCs w:val="18"/>
          <w:lang w:val="nl-BE"/>
        </w:rPr>
      </w:pPr>
    </w:p>
    <w:p w14:paraId="438A35AD" w14:textId="77777777" w:rsidR="00481C1D" w:rsidRDefault="00481C1D" w:rsidP="00671517">
      <w:pPr>
        <w:jc w:val="both"/>
        <w:rPr>
          <w:rFonts w:ascii="Verdana" w:hAnsi="Verdana"/>
          <w:sz w:val="18"/>
          <w:szCs w:val="18"/>
          <w:lang w:val="nl-BE"/>
        </w:rPr>
      </w:pPr>
    </w:p>
    <w:p w14:paraId="438A35AE" w14:textId="77777777" w:rsidR="00481C1D" w:rsidRDefault="00481C1D" w:rsidP="00671517">
      <w:pPr>
        <w:jc w:val="both"/>
        <w:rPr>
          <w:rFonts w:ascii="Verdana" w:hAnsi="Verdana"/>
          <w:sz w:val="18"/>
          <w:szCs w:val="18"/>
          <w:lang w:val="nl-BE"/>
        </w:rPr>
      </w:pPr>
    </w:p>
    <w:p w14:paraId="438A35AF" w14:textId="77777777" w:rsidR="00481C1D" w:rsidRPr="00671517" w:rsidRDefault="00481C1D" w:rsidP="00671517">
      <w:pPr>
        <w:jc w:val="both"/>
        <w:rPr>
          <w:rFonts w:ascii="Verdana" w:hAnsi="Verdana"/>
          <w:sz w:val="18"/>
          <w:szCs w:val="18"/>
          <w:lang w:val="nl-BE"/>
        </w:rPr>
      </w:pPr>
    </w:p>
    <w:p w14:paraId="438A35B0" w14:textId="77777777" w:rsidR="00B6071A" w:rsidRDefault="00671517" w:rsidP="00B6071A">
      <w:pPr>
        <w:ind w:left="284"/>
        <w:jc w:val="both"/>
        <w:rPr>
          <w:rFonts w:ascii="Verdana" w:hAnsi="Verdana"/>
          <w:sz w:val="20"/>
          <w:szCs w:val="20"/>
          <w:lang w:val="nl-BE"/>
        </w:rPr>
      </w:pPr>
      <w:r w:rsidRPr="00671517">
        <w:rPr>
          <w:rFonts w:ascii="Verdana" w:hAnsi="Verdana"/>
          <w:sz w:val="20"/>
          <w:szCs w:val="20"/>
          <w:lang w:val="nl-BE"/>
        </w:rPr>
        <w:lastRenderedPageBreak/>
        <w:t xml:space="preserve">Onderstaande tabel toont de </w:t>
      </w:r>
      <w:r w:rsidR="00481C1D">
        <w:rPr>
          <w:rFonts w:ascii="Verdana" w:hAnsi="Verdana"/>
          <w:sz w:val="20"/>
          <w:szCs w:val="20"/>
          <w:lang w:val="nl-BE"/>
        </w:rPr>
        <w:t xml:space="preserve">totaal </w:t>
      </w:r>
      <w:r w:rsidRPr="00671517">
        <w:rPr>
          <w:rFonts w:ascii="Verdana" w:hAnsi="Verdana"/>
          <w:sz w:val="20"/>
          <w:szCs w:val="20"/>
          <w:lang w:val="nl-BE"/>
        </w:rPr>
        <w:t>geïnde bedragen</w:t>
      </w:r>
      <w:r w:rsidR="00481C1D">
        <w:rPr>
          <w:rFonts w:ascii="Verdana" w:hAnsi="Verdana"/>
          <w:sz w:val="20"/>
          <w:szCs w:val="20"/>
          <w:lang w:val="nl-BE"/>
        </w:rPr>
        <w:t xml:space="preserve"> (afgerond)</w:t>
      </w:r>
      <w:r w:rsidRPr="00671517">
        <w:rPr>
          <w:rFonts w:ascii="Verdana" w:hAnsi="Verdana"/>
          <w:sz w:val="20"/>
          <w:szCs w:val="20"/>
          <w:lang w:val="nl-BE"/>
        </w:rPr>
        <w:t xml:space="preserve"> van </w:t>
      </w:r>
      <w:r w:rsidRPr="00671517">
        <w:rPr>
          <w:rFonts w:ascii="Verdana" w:hAnsi="Verdana"/>
          <w:b/>
          <w:sz w:val="20"/>
          <w:szCs w:val="20"/>
          <w:lang w:val="nl-BE"/>
        </w:rPr>
        <w:t>de heffing</w:t>
      </w:r>
      <w:r w:rsidRPr="00671517">
        <w:rPr>
          <w:rFonts w:ascii="Verdana" w:hAnsi="Verdana"/>
          <w:sz w:val="20"/>
          <w:szCs w:val="20"/>
          <w:lang w:val="nl-BE"/>
        </w:rPr>
        <w:t xml:space="preserve"> per jaar en per provincie.</w:t>
      </w:r>
    </w:p>
    <w:p w14:paraId="438A35B1" w14:textId="77777777" w:rsidR="00481C1D" w:rsidRDefault="00481C1D" w:rsidP="00B6071A">
      <w:pPr>
        <w:ind w:left="284"/>
        <w:jc w:val="both"/>
        <w:rPr>
          <w:rFonts w:ascii="Verdana" w:hAnsi="Verdana"/>
          <w:sz w:val="20"/>
          <w:szCs w:val="20"/>
          <w:lang w:val="nl-BE"/>
        </w:rPr>
      </w:pPr>
    </w:p>
    <w:tbl>
      <w:tblPr>
        <w:tblStyle w:val="Tabelraster"/>
        <w:tblW w:w="9937" w:type="dxa"/>
        <w:jc w:val="center"/>
        <w:tblLook w:val="04A0" w:firstRow="1" w:lastRow="0" w:firstColumn="1" w:lastColumn="0" w:noHBand="0" w:noVBand="1"/>
      </w:tblPr>
      <w:tblGrid>
        <w:gridCol w:w="1653"/>
        <w:gridCol w:w="1228"/>
        <w:gridCol w:w="1228"/>
        <w:gridCol w:w="1228"/>
        <w:gridCol w:w="1228"/>
        <w:gridCol w:w="1228"/>
        <w:gridCol w:w="1228"/>
        <w:gridCol w:w="916"/>
      </w:tblGrid>
      <w:tr w:rsidR="00481C1D" w:rsidRPr="00671517" w14:paraId="438A35BA" w14:textId="77777777" w:rsidTr="00481C1D">
        <w:trPr>
          <w:trHeight w:val="436"/>
          <w:jc w:val="center"/>
        </w:trPr>
        <w:tc>
          <w:tcPr>
            <w:tcW w:w="1653" w:type="dxa"/>
            <w:noWrap/>
            <w:vAlign w:val="center"/>
            <w:hideMark/>
          </w:tcPr>
          <w:p w14:paraId="438A35B2" w14:textId="77777777" w:rsidR="00481C1D" w:rsidRPr="00671517" w:rsidRDefault="00481C1D" w:rsidP="00AA06BD">
            <w:pPr>
              <w:rPr>
                <w:rFonts w:asciiTheme="minorHAnsi" w:hAnsiTheme="minorHAnsi"/>
                <w:sz w:val="20"/>
                <w:szCs w:val="20"/>
                <w:lang w:val="nl-BE" w:eastAsia="nl-BE"/>
              </w:rPr>
            </w:pPr>
          </w:p>
        </w:tc>
        <w:tc>
          <w:tcPr>
            <w:tcW w:w="1228" w:type="dxa"/>
            <w:noWrap/>
            <w:vAlign w:val="center"/>
            <w:hideMark/>
          </w:tcPr>
          <w:p w14:paraId="438A35B3"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2012</w:t>
            </w:r>
          </w:p>
        </w:tc>
        <w:tc>
          <w:tcPr>
            <w:tcW w:w="1228" w:type="dxa"/>
            <w:noWrap/>
            <w:vAlign w:val="center"/>
            <w:hideMark/>
          </w:tcPr>
          <w:p w14:paraId="438A35B4"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2013</w:t>
            </w:r>
          </w:p>
        </w:tc>
        <w:tc>
          <w:tcPr>
            <w:tcW w:w="1228" w:type="dxa"/>
            <w:noWrap/>
            <w:vAlign w:val="center"/>
            <w:hideMark/>
          </w:tcPr>
          <w:p w14:paraId="438A35B5"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2014</w:t>
            </w:r>
          </w:p>
        </w:tc>
        <w:tc>
          <w:tcPr>
            <w:tcW w:w="1228" w:type="dxa"/>
            <w:noWrap/>
            <w:vAlign w:val="center"/>
            <w:hideMark/>
          </w:tcPr>
          <w:p w14:paraId="438A35B6"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2015</w:t>
            </w:r>
          </w:p>
        </w:tc>
        <w:tc>
          <w:tcPr>
            <w:tcW w:w="1228" w:type="dxa"/>
            <w:noWrap/>
            <w:vAlign w:val="center"/>
            <w:hideMark/>
          </w:tcPr>
          <w:p w14:paraId="438A35B7"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2016</w:t>
            </w:r>
          </w:p>
        </w:tc>
        <w:tc>
          <w:tcPr>
            <w:tcW w:w="1228" w:type="dxa"/>
            <w:noWrap/>
            <w:vAlign w:val="center"/>
            <w:hideMark/>
          </w:tcPr>
          <w:p w14:paraId="438A35B8" w14:textId="77777777" w:rsidR="00481C1D" w:rsidRPr="00671517" w:rsidRDefault="00481C1D" w:rsidP="00AA06BD">
            <w:pPr>
              <w:jc w:val="center"/>
              <w:rPr>
                <w:rFonts w:asciiTheme="minorHAnsi" w:hAnsiTheme="minorHAnsi"/>
                <w:b/>
                <w:color w:val="000000"/>
                <w:sz w:val="20"/>
                <w:szCs w:val="20"/>
                <w:lang w:val="nl-BE" w:eastAsia="nl-BE"/>
              </w:rPr>
            </w:pPr>
            <w:r w:rsidRPr="00671517">
              <w:rPr>
                <w:rFonts w:asciiTheme="minorHAnsi" w:hAnsiTheme="minorHAnsi"/>
                <w:b/>
                <w:color w:val="000000"/>
                <w:sz w:val="20"/>
                <w:szCs w:val="20"/>
                <w:lang w:val="nl-BE" w:eastAsia="nl-BE"/>
              </w:rPr>
              <w:t>Totaal</w:t>
            </w:r>
          </w:p>
        </w:tc>
        <w:tc>
          <w:tcPr>
            <w:tcW w:w="916" w:type="dxa"/>
            <w:noWrap/>
            <w:vAlign w:val="center"/>
            <w:hideMark/>
          </w:tcPr>
          <w:p w14:paraId="438A35B9"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w:t>
            </w:r>
          </w:p>
        </w:tc>
      </w:tr>
      <w:tr w:rsidR="00554424" w:rsidRPr="00671517" w14:paraId="438A35C3" w14:textId="77777777" w:rsidTr="00481C1D">
        <w:trPr>
          <w:trHeight w:val="436"/>
          <w:jc w:val="center"/>
        </w:trPr>
        <w:tc>
          <w:tcPr>
            <w:tcW w:w="1653" w:type="dxa"/>
            <w:noWrap/>
            <w:vAlign w:val="center"/>
            <w:hideMark/>
          </w:tcPr>
          <w:p w14:paraId="438A35BB" w14:textId="77777777" w:rsidR="00554424" w:rsidRPr="00671517" w:rsidRDefault="00554424" w:rsidP="00AA06BD">
            <w:pP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Antwerpen</w:t>
            </w:r>
          </w:p>
        </w:tc>
        <w:tc>
          <w:tcPr>
            <w:tcW w:w="1228" w:type="dxa"/>
            <w:noWrap/>
            <w:vAlign w:val="center"/>
            <w:hideMark/>
          </w:tcPr>
          <w:p w14:paraId="438A35BC"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2.526.</w:t>
            </w:r>
            <w:r w:rsidRPr="00671517">
              <w:rPr>
                <w:rFonts w:asciiTheme="minorHAnsi" w:hAnsiTheme="minorHAnsi"/>
                <w:color w:val="000000"/>
                <w:sz w:val="20"/>
                <w:szCs w:val="20"/>
                <w:lang w:val="nl-BE" w:eastAsia="nl-BE"/>
              </w:rPr>
              <w:t>870</w:t>
            </w:r>
          </w:p>
        </w:tc>
        <w:tc>
          <w:tcPr>
            <w:tcW w:w="1228" w:type="dxa"/>
            <w:noWrap/>
            <w:vAlign w:val="center"/>
            <w:hideMark/>
          </w:tcPr>
          <w:p w14:paraId="438A35BD"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3.000.</w:t>
            </w:r>
            <w:r w:rsidRPr="00671517">
              <w:rPr>
                <w:rFonts w:asciiTheme="minorHAnsi" w:hAnsiTheme="minorHAnsi"/>
                <w:color w:val="000000"/>
                <w:sz w:val="20"/>
                <w:szCs w:val="20"/>
                <w:lang w:val="nl-BE" w:eastAsia="nl-BE"/>
              </w:rPr>
              <w:t>348</w:t>
            </w:r>
          </w:p>
        </w:tc>
        <w:tc>
          <w:tcPr>
            <w:tcW w:w="1228" w:type="dxa"/>
            <w:noWrap/>
            <w:vAlign w:val="center"/>
            <w:hideMark/>
          </w:tcPr>
          <w:p w14:paraId="438A35BE"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1.977.</w:t>
            </w:r>
            <w:r w:rsidRPr="00671517">
              <w:rPr>
                <w:rFonts w:asciiTheme="minorHAnsi" w:hAnsiTheme="minorHAnsi"/>
                <w:color w:val="000000"/>
                <w:sz w:val="20"/>
                <w:szCs w:val="20"/>
                <w:lang w:val="nl-BE" w:eastAsia="nl-BE"/>
              </w:rPr>
              <w:t>173</w:t>
            </w:r>
          </w:p>
        </w:tc>
        <w:tc>
          <w:tcPr>
            <w:tcW w:w="1228" w:type="dxa"/>
            <w:noWrap/>
            <w:vAlign w:val="center"/>
            <w:hideMark/>
          </w:tcPr>
          <w:p w14:paraId="438A35BF"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1.133.</w:t>
            </w:r>
            <w:r w:rsidRPr="00671517">
              <w:rPr>
                <w:rFonts w:asciiTheme="minorHAnsi" w:hAnsiTheme="minorHAnsi"/>
                <w:color w:val="000000"/>
                <w:sz w:val="20"/>
                <w:szCs w:val="20"/>
                <w:lang w:val="nl-BE" w:eastAsia="nl-BE"/>
              </w:rPr>
              <w:t>887</w:t>
            </w:r>
          </w:p>
        </w:tc>
        <w:tc>
          <w:tcPr>
            <w:tcW w:w="1228" w:type="dxa"/>
            <w:noWrap/>
            <w:vAlign w:val="center"/>
            <w:hideMark/>
          </w:tcPr>
          <w:p w14:paraId="438A35C0"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1.498.</w:t>
            </w:r>
            <w:r w:rsidRPr="00671517">
              <w:rPr>
                <w:rFonts w:asciiTheme="minorHAnsi" w:hAnsiTheme="minorHAnsi"/>
                <w:color w:val="000000"/>
                <w:sz w:val="20"/>
                <w:szCs w:val="20"/>
                <w:lang w:val="nl-BE" w:eastAsia="nl-BE"/>
              </w:rPr>
              <w:t>905</w:t>
            </w:r>
          </w:p>
        </w:tc>
        <w:tc>
          <w:tcPr>
            <w:tcW w:w="1228" w:type="dxa"/>
            <w:noWrap/>
            <w:vAlign w:val="center"/>
            <w:hideMark/>
          </w:tcPr>
          <w:p w14:paraId="438A35C1" w14:textId="77777777" w:rsidR="00554424" w:rsidRPr="00E0271C" w:rsidRDefault="00554424" w:rsidP="00AA06BD">
            <w:pPr>
              <w:jc w:val="right"/>
              <w:rPr>
                <w:rFonts w:ascii="Calibri" w:hAnsi="Calibri"/>
                <w:b/>
                <w:color w:val="000000"/>
                <w:sz w:val="20"/>
                <w:szCs w:val="20"/>
                <w:lang w:val="nl-BE" w:eastAsia="nl-BE"/>
              </w:rPr>
            </w:pPr>
            <w:r w:rsidRPr="00E0271C">
              <w:rPr>
                <w:rFonts w:ascii="Calibri" w:hAnsi="Calibri"/>
                <w:b/>
                <w:color w:val="000000"/>
                <w:sz w:val="20"/>
                <w:szCs w:val="20"/>
                <w:lang w:val="nl-BE" w:eastAsia="nl-BE"/>
              </w:rPr>
              <w:t>10.137.184</w:t>
            </w:r>
          </w:p>
        </w:tc>
        <w:tc>
          <w:tcPr>
            <w:tcW w:w="916" w:type="dxa"/>
            <w:noWrap/>
            <w:vAlign w:val="center"/>
            <w:hideMark/>
          </w:tcPr>
          <w:p w14:paraId="438A35C2" w14:textId="77777777" w:rsidR="00554424" w:rsidRPr="00554424" w:rsidRDefault="00554424">
            <w:pPr>
              <w:jc w:val="center"/>
              <w:rPr>
                <w:rFonts w:asciiTheme="minorHAnsi" w:eastAsiaTheme="minorHAnsi" w:hAnsiTheme="minorHAnsi"/>
                <w:color w:val="000000"/>
                <w:sz w:val="20"/>
                <w:szCs w:val="20"/>
              </w:rPr>
            </w:pPr>
            <w:r w:rsidRPr="00554424">
              <w:rPr>
                <w:rFonts w:asciiTheme="minorHAnsi" w:hAnsiTheme="minorHAnsi"/>
                <w:color w:val="000000"/>
                <w:sz w:val="20"/>
                <w:szCs w:val="20"/>
              </w:rPr>
              <w:t>34,24%</w:t>
            </w:r>
          </w:p>
        </w:tc>
      </w:tr>
      <w:tr w:rsidR="00554424" w:rsidRPr="00671517" w14:paraId="438A35CC" w14:textId="77777777" w:rsidTr="00481C1D">
        <w:trPr>
          <w:trHeight w:val="436"/>
          <w:jc w:val="center"/>
        </w:trPr>
        <w:tc>
          <w:tcPr>
            <w:tcW w:w="1653" w:type="dxa"/>
            <w:noWrap/>
            <w:vAlign w:val="center"/>
            <w:hideMark/>
          </w:tcPr>
          <w:p w14:paraId="438A35C4" w14:textId="77777777" w:rsidR="00554424" w:rsidRPr="00671517" w:rsidRDefault="00554424" w:rsidP="00AA06BD">
            <w:pP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Limburg</w:t>
            </w:r>
          </w:p>
        </w:tc>
        <w:tc>
          <w:tcPr>
            <w:tcW w:w="1228" w:type="dxa"/>
            <w:noWrap/>
            <w:vAlign w:val="center"/>
            <w:hideMark/>
          </w:tcPr>
          <w:p w14:paraId="438A35C5"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 xml:space="preserve">  744.</w:t>
            </w:r>
            <w:r w:rsidRPr="00671517">
              <w:rPr>
                <w:rFonts w:asciiTheme="minorHAnsi" w:hAnsiTheme="minorHAnsi"/>
                <w:color w:val="000000"/>
                <w:sz w:val="20"/>
                <w:szCs w:val="20"/>
                <w:lang w:val="nl-BE" w:eastAsia="nl-BE"/>
              </w:rPr>
              <w:t>075</w:t>
            </w:r>
          </w:p>
        </w:tc>
        <w:tc>
          <w:tcPr>
            <w:tcW w:w="1228" w:type="dxa"/>
            <w:noWrap/>
            <w:vAlign w:val="center"/>
            <w:hideMark/>
          </w:tcPr>
          <w:p w14:paraId="438A35C6"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666.</w:t>
            </w:r>
            <w:r w:rsidRPr="00671517">
              <w:rPr>
                <w:rFonts w:asciiTheme="minorHAnsi" w:hAnsiTheme="minorHAnsi"/>
                <w:color w:val="000000"/>
                <w:sz w:val="20"/>
                <w:szCs w:val="20"/>
                <w:lang w:val="nl-BE" w:eastAsia="nl-BE"/>
              </w:rPr>
              <w:t>449</w:t>
            </w:r>
          </w:p>
        </w:tc>
        <w:tc>
          <w:tcPr>
            <w:tcW w:w="1228" w:type="dxa"/>
            <w:noWrap/>
            <w:vAlign w:val="center"/>
            <w:hideMark/>
          </w:tcPr>
          <w:p w14:paraId="438A35C7"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773.</w:t>
            </w:r>
            <w:r w:rsidRPr="00671517">
              <w:rPr>
                <w:rFonts w:asciiTheme="minorHAnsi" w:hAnsiTheme="minorHAnsi"/>
                <w:color w:val="000000"/>
                <w:sz w:val="20"/>
                <w:szCs w:val="20"/>
                <w:lang w:val="nl-BE" w:eastAsia="nl-BE"/>
              </w:rPr>
              <w:t>437</w:t>
            </w:r>
          </w:p>
        </w:tc>
        <w:tc>
          <w:tcPr>
            <w:tcW w:w="1228" w:type="dxa"/>
            <w:noWrap/>
            <w:vAlign w:val="center"/>
            <w:hideMark/>
          </w:tcPr>
          <w:p w14:paraId="438A35C8"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365.</w:t>
            </w:r>
            <w:r w:rsidRPr="00671517">
              <w:rPr>
                <w:rFonts w:asciiTheme="minorHAnsi" w:hAnsiTheme="minorHAnsi"/>
                <w:color w:val="000000"/>
                <w:sz w:val="20"/>
                <w:szCs w:val="20"/>
                <w:lang w:val="nl-BE" w:eastAsia="nl-BE"/>
              </w:rPr>
              <w:t>698</w:t>
            </w:r>
          </w:p>
        </w:tc>
        <w:tc>
          <w:tcPr>
            <w:tcW w:w="1228" w:type="dxa"/>
            <w:noWrap/>
            <w:vAlign w:val="center"/>
            <w:hideMark/>
          </w:tcPr>
          <w:p w14:paraId="438A35C9"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422.</w:t>
            </w:r>
            <w:r w:rsidRPr="00671517">
              <w:rPr>
                <w:rFonts w:asciiTheme="minorHAnsi" w:hAnsiTheme="minorHAnsi"/>
                <w:color w:val="000000"/>
                <w:sz w:val="20"/>
                <w:szCs w:val="20"/>
                <w:lang w:val="nl-BE" w:eastAsia="nl-BE"/>
              </w:rPr>
              <w:t>853</w:t>
            </w:r>
          </w:p>
        </w:tc>
        <w:tc>
          <w:tcPr>
            <w:tcW w:w="1228" w:type="dxa"/>
            <w:noWrap/>
            <w:vAlign w:val="center"/>
            <w:hideMark/>
          </w:tcPr>
          <w:p w14:paraId="438A35CA" w14:textId="77777777" w:rsidR="00554424" w:rsidRPr="00E0271C" w:rsidRDefault="00554424" w:rsidP="00AA06BD">
            <w:pPr>
              <w:jc w:val="right"/>
              <w:rPr>
                <w:rFonts w:ascii="Calibri" w:hAnsi="Calibri"/>
                <w:b/>
                <w:color w:val="000000"/>
                <w:sz w:val="20"/>
                <w:szCs w:val="20"/>
                <w:lang w:val="nl-BE" w:eastAsia="nl-BE"/>
              </w:rPr>
            </w:pPr>
            <w:r w:rsidRPr="00E0271C">
              <w:rPr>
                <w:rFonts w:ascii="Calibri" w:hAnsi="Calibri"/>
                <w:b/>
                <w:color w:val="000000"/>
                <w:sz w:val="20"/>
                <w:szCs w:val="20"/>
                <w:lang w:val="nl-BE" w:eastAsia="nl-BE"/>
              </w:rPr>
              <w:t>2.972.512</w:t>
            </w:r>
          </w:p>
        </w:tc>
        <w:tc>
          <w:tcPr>
            <w:tcW w:w="916" w:type="dxa"/>
            <w:noWrap/>
            <w:vAlign w:val="center"/>
            <w:hideMark/>
          </w:tcPr>
          <w:p w14:paraId="438A35CB" w14:textId="77777777" w:rsidR="00554424" w:rsidRPr="00554424" w:rsidRDefault="00554424">
            <w:pPr>
              <w:jc w:val="center"/>
              <w:rPr>
                <w:rFonts w:asciiTheme="minorHAnsi" w:eastAsiaTheme="minorHAnsi" w:hAnsiTheme="minorHAnsi"/>
                <w:color w:val="000000"/>
                <w:sz w:val="20"/>
                <w:szCs w:val="20"/>
              </w:rPr>
            </w:pPr>
            <w:r w:rsidRPr="00554424">
              <w:rPr>
                <w:rFonts w:asciiTheme="minorHAnsi" w:hAnsiTheme="minorHAnsi"/>
                <w:color w:val="000000"/>
                <w:sz w:val="20"/>
                <w:szCs w:val="20"/>
              </w:rPr>
              <w:t>10,04%</w:t>
            </w:r>
          </w:p>
        </w:tc>
      </w:tr>
      <w:tr w:rsidR="00554424" w:rsidRPr="00671517" w14:paraId="438A35D5" w14:textId="77777777" w:rsidTr="00481C1D">
        <w:trPr>
          <w:trHeight w:val="436"/>
          <w:jc w:val="center"/>
        </w:trPr>
        <w:tc>
          <w:tcPr>
            <w:tcW w:w="1653" w:type="dxa"/>
            <w:noWrap/>
            <w:vAlign w:val="center"/>
            <w:hideMark/>
          </w:tcPr>
          <w:p w14:paraId="438A35CD" w14:textId="77777777" w:rsidR="00554424" w:rsidRPr="00671517" w:rsidRDefault="00554424" w:rsidP="00AA06BD">
            <w:pP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Oost-Vlaanderen</w:t>
            </w:r>
          </w:p>
        </w:tc>
        <w:tc>
          <w:tcPr>
            <w:tcW w:w="1228" w:type="dxa"/>
            <w:noWrap/>
            <w:vAlign w:val="center"/>
            <w:hideMark/>
          </w:tcPr>
          <w:p w14:paraId="438A35CE"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1.071.</w:t>
            </w:r>
            <w:r w:rsidRPr="00671517">
              <w:rPr>
                <w:rFonts w:asciiTheme="minorHAnsi" w:hAnsiTheme="minorHAnsi"/>
                <w:color w:val="000000"/>
                <w:sz w:val="20"/>
                <w:szCs w:val="20"/>
                <w:lang w:val="nl-BE" w:eastAsia="nl-BE"/>
              </w:rPr>
              <w:t>447</w:t>
            </w:r>
          </w:p>
        </w:tc>
        <w:tc>
          <w:tcPr>
            <w:tcW w:w="1228" w:type="dxa"/>
            <w:noWrap/>
            <w:vAlign w:val="center"/>
            <w:hideMark/>
          </w:tcPr>
          <w:p w14:paraId="438A35CF"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1.163.</w:t>
            </w:r>
            <w:r w:rsidRPr="00671517">
              <w:rPr>
                <w:rFonts w:asciiTheme="minorHAnsi" w:hAnsiTheme="minorHAnsi"/>
                <w:color w:val="000000"/>
                <w:sz w:val="20"/>
                <w:szCs w:val="20"/>
                <w:lang w:val="nl-BE" w:eastAsia="nl-BE"/>
              </w:rPr>
              <w:t>998</w:t>
            </w:r>
          </w:p>
        </w:tc>
        <w:tc>
          <w:tcPr>
            <w:tcW w:w="1228" w:type="dxa"/>
            <w:noWrap/>
            <w:vAlign w:val="center"/>
            <w:hideMark/>
          </w:tcPr>
          <w:p w14:paraId="438A35D0"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875.</w:t>
            </w:r>
            <w:r w:rsidRPr="00671517">
              <w:rPr>
                <w:rFonts w:asciiTheme="minorHAnsi" w:hAnsiTheme="minorHAnsi"/>
                <w:color w:val="000000"/>
                <w:sz w:val="20"/>
                <w:szCs w:val="20"/>
                <w:lang w:val="nl-BE" w:eastAsia="nl-BE"/>
              </w:rPr>
              <w:t>753</w:t>
            </w:r>
          </w:p>
        </w:tc>
        <w:tc>
          <w:tcPr>
            <w:tcW w:w="1228" w:type="dxa"/>
            <w:noWrap/>
            <w:vAlign w:val="center"/>
            <w:hideMark/>
          </w:tcPr>
          <w:p w14:paraId="438A35D1"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673.</w:t>
            </w:r>
            <w:r w:rsidRPr="00671517">
              <w:rPr>
                <w:rFonts w:asciiTheme="minorHAnsi" w:hAnsiTheme="minorHAnsi"/>
                <w:color w:val="000000"/>
                <w:sz w:val="20"/>
                <w:szCs w:val="20"/>
                <w:lang w:val="nl-BE" w:eastAsia="nl-BE"/>
              </w:rPr>
              <w:t>080</w:t>
            </w:r>
          </w:p>
        </w:tc>
        <w:tc>
          <w:tcPr>
            <w:tcW w:w="1228" w:type="dxa"/>
            <w:noWrap/>
            <w:vAlign w:val="center"/>
            <w:hideMark/>
          </w:tcPr>
          <w:p w14:paraId="438A35D2"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555.</w:t>
            </w:r>
            <w:r w:rsidRPr="00671517">
              <w:rPr>
                <w:rFonts w:asciiTheme="minorHAnsi" w:hAnsiTheme="minorHAnsi"/>
                <w:color w:val="000000"/>
                <w:sz w:val="20"/>
                <w:szCs w:val="20"/>
                <w:lang w:val="nl-BE" w:eastAsia="nl-BE"/>
              </w:rPr>
              <w:t>983</w:t>
            </w:r>
          </w:p>
        </w:tc>
        <w:tc>
          <w:tcPr>
            <w:tcW w:w="1228" w:type="dxa"/>
            <w:noWrap/>
            <w:vAlign w:val="center"/>
            <w:hideMark/>
          </w:tcPr>
          <w:p w14:paraId="438A35D3" w14:textId="77777777" w:rsidR="00554424" w:rsidRPr="00E0271C" w:rsidRDefault="00554424" w:rsidP="00AA06BD">
            <w:pPr>
              <w:jc w:val="right"/>
              <w:rPr>
                <w:rFonts w:ascii="Calibri" w:hAnsi="Calibri"/>
                <w:b/>
                <w:color w:val="000000"/>
                <w:sz w:val="20"/>
                <w:szCs w:val="20"/>
                <w:lang w:val="nl-BE" w:eastAsia="nl-BE"/>
              </w:rPr>
            </w:pPr>
            <w:r w:rsidRPr="00E0271C">
              <w:rPr>
                <w:rFonts w:ascii="Calibri" w:hAnsi="Calibri"/>
                <w:b/>
                <w:color w:val="000000"/>
                <w:sz w:val="20"/>
                <w:szCs w:val="20"/>
                <w:lang w:val="nl-BE" w:eastAsia="nl-BE"/>
              </w:rPr>
              <w:t>4.340.261</w:t>
            </w:r>
          </w:p>
        </w:tc>
        <w:tc>
          <w:tcPr>
            <w:tcW w:w="916" w:type="dxa"/>
            <w:noWrap/>
            <w:vAlign w:val="center"/>
            <w:hideMark/>
          </w:tcPr>
          <w:p w14:paraId="438A35D4" w14:textId="77777777" w:rsidR="00554424" w:rsidRPr="00554424" w:rsidRDefault="00554424">
            <w:pPr>
              <w:jc w:val="center"/>
              <w:rPr>
                <w:rFonts w:asciiTheme="minorHAnsi" w:eastAsiaTheme="minorHAnsi" w:hAnsiTheme="minorHAnsi"/>
                <w:color w:val="000000"/>
                <w:sz w:val="20"/>
                <w:szCs w:val="20"/>
              </w:rPr>
            </w:pPr>
            <w:r w:rsidRPr="00554424">
              <w:rPr>
                <w:rFonts w:asciiTheme="minorHAnsi" w:hAnsiTheme="minorHAnsi"/>
                <w:color w:val="000000"/>
                <w:sz w:val="20"/>
                <w:szCs w:val="20"/>
              </w:rPr>
              <w:t>14,66%</w:t>
            </w:r>
          </w:p>
        </w:tc>
      </w:tr>
      <w:tr w:rsidR="00554424" w:rsidRPr="00671517" w14:paraId="438A35DE" w14:textId="77777777" w:rsidTr="00481C1D">
        <w:trPr>
          <w:trHeight w:val="436"/>
          <w:jc w:val="center"/>
        </w:trPr>
        <w:tc>
          <w:tcPr>
            <w:tcW w:w="1653" w:type="dxa"/>
            <w:noWrap/>
            <w:vAlign w:val="center"/>
            <w:hideMark/>
          </w:tcPr>
          <w:p w14:paraId="438A35D6" w14:textId="77777777" w:rsidR="00554424" w:rsidRPr="00671517" w:rsidRDefault="00554424" w:rsidP="00AA06BD">
            <w:pP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West-Vlaanderen</w:t>
            </w:r>
          </w:p>
        </w:tc>
        <w:tc>
          <w:tcPr>
            <w:tcW w:w="1228" w:type="dxa"/>
            <w:noWrap/>
            <w:vAlign w:val="center"/>
            <w:hideMark/>
          </w:tcPr>
          <w:p w14:paraId="438A35D7"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499.</w:t>
            </w:r>
            <w:r w:rsidRPr="00671517">
              <w:rPr>
                <w:rFonts w:asciiTheme="minorHAnsi" w:hAnsiTheme="minorHAnsi"/>
                <w:color w:val="000000"/>
                <w:sz w:val="20"/>
                <w:szCs w:val="20"/>
                <w:lang w:val="nl-BE" w:eastAsia="nl-BE"/>
              </w:rPr>
              <w:t>069</w:t>
            </w:r>
          </w:p>
        </w:tc>
        <w:tc>
          <w:tcPr>
            <w:tcW w:w="1228" w:type="dxa"/>
            <w:noWrap/>
            <w:vAlign w:val="center"/>
            <w:hideMark/>
          </w:tcPr>
          <w:p w14:paraId="438A35D8"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2.350.</w:t>
            </w:r>
            <w:r w:rsidRPr="00671517">
              <w:rPr>
                <w:rFonts w:asciiTheme="minorHAnsi" w:hAnsiTheme="minorHAnsi"/>
                <w:color w:val="000000"/>
                <w:sz w:val="20"/>
                <w:szCs w:val="20"/>
                <w:lang w:val="nl-BE" w:eastAsia="nl-BE"/>
              </w:rPr>
              <w:t>304</w:t>
            </w:r>
          </w:p>
        </w:tc>
        <w:tc>
          <w:tcPr>
            <w:tcW w:w="1228" w:type="dxa"/>
            <w:noWrap/>
            <w:vAlign w:val="center"/>
            <w:hideMark/>
          </w:tcPr>
          <w:p w14:paraId="438A35D9"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681.</w:t>
            </w:r>
            <w:r w:rsidRPr="00671517">
              <w:rPr>
                <w:rFonts w:asciiTheme="minorHAnsi" w:hAnsiTheme="minorHAnsi"/>
                <w:color w:val="000000"/>
                <w:sz w:val="20"/>
                <w:szCs w:val="20"/>
                <w:lang w:val="nl-BE" w:eastAsia="nl-BE"/>
              </w:rPr>
              <w:t>311</w:t>
            </w:r>
          </w:p>
        </w:tc>
        <w:tc>
          <w:tcPr>
            <w:tcW w:w="1228" w:type="dxa"/>
            <w:noWrap/>
            <w:vAlign w:val="center"/>
            <w:hideMark/>
          </w:tcPr>
          <w:p w14:paraId="438A35DA"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437.</w:t>
            </w:r>
            <w:r w:rsidRPr="00671517">
              <w:rPr>
                <w:rFonts w:asciiTheme="minorHAnsi" w:hAnsiTheme="minorHAnsi"/>
                <w:color w:val="000000"/>
                <w:sz w:val="20"/>
                <w:szCs w:val="20"/>
                <w:lang w:val="nl-BE" w:eastAsia="nl-BE"/>
              </w:rPr>
              <w:t>100</w:t>
            </w:r>
          </w:p>
        </w:tc>
        <w:tc>
          <w:tcPr>
            <w:tcW w:w="1228" w:type="dxa"/>
            <w:noWrap/>
            <w:vAlign w:val="center"/>
            <w:hideMark/>
          </w:tcPr>
          <w:p w14:paraId="438A35DB"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739.</w:t>
            </w:r>
            <w:r w:rsidRPr="00671517">
              <w:rPr>
                <w:rFonts w:asciiTheme="minorHAnsi" w:hAnsiTheme="minorHAnsi"/>
                <w:color w:val="000000"/>
                <w:sz w:val="20"/>
                <w:szCs w:val="20"/>
                <w:lang w:val="nl-BE" w:eastAsia="nl-BE"/>
              </w:rPr>
              <w:t>893</w:t>
            </w:r>
          </w:p>
        </w:tc>
        <w:tc>
          <w:tcPr>
            <w:tcW w:w="1228" w:type="dxa"/>
            <w:noWrap/>
            <w:vAlign w:val="center"/>
            <w:hideMark/>
          </w:tcPr>
          <w:p w14:paraId="438A35DC" w14:textId="77777777" w:rsidR="00554424" w:rsidRPr="00E0271C" w:rsidRDefault="00554424" w:rsidP="00AA06BD">
            <w:pPr>
              <w:jc w:val="right"/>
              <w:rPr>
                <w:rFonts w:ascii="Calibri" w:hAnsi="Calibri"/>
                <w:b/>
                <w:color w:val="000000"/>
                <w:sz w:val="20"/>
                <w:szCs w:val="20"/>
                <w:lang w:val="nl-BE" w:eastAsia="nl-BE"/>
              </w:rPr>
            </w:pPr>
            <w:r w:rsidRPr="00E0271C">
              <w:rPr>
                <w:rFonts w:ascii="Calibri" w:hAnsi="Calibri"/>
                <w:b/>
                <w:color w:val="000000"/>
                <w:sz w:val="20"/>
                <w:szCs w:val="20"/>
                <w:lang w:val="nl-BE" w:eastAsia="nl-BE"/>
              </w:rPr>
              <w:t>4.707.677</w:t>
            </w:r>
          </w:p>
        </w:tc>
        <w:tc>
          <w:tcPr>
            <w:tcW w:w="916" w:type="dxa"/>
            <w:noWrap/>
            <w:vAlign w:val="center"/>
            <w:hideMark/>
          </w:tcPr>
          <w:p w14:paraId="438A35DD" w14:textId="77777777" w:rsidR="00554424" w:rsidRPr="00554424" w:rsidRDefault="00554424">
            <w:pPr>
              <w:jc w:val="center"/>
              <w:rPr>
                <w:rFonts w:asciiTheme="minorHAnsi" w:eastAsiaTheme="minorHAnsi" w:hAnsiTheme="minorHAnsi"/>
                <w:color w:val="000000"/>
                <w:sz w:val="20"/>
                <w:szCs w:val="20"/>
              </w:rPr>
            </w:pPr>
            <w:r w:rsidRPr="00554424">
              <w:rPr>
                <w:rFonts w:asciiTheme="minorHAnsi" w:hAnsiTheme="minorHAnsi"/>
                <w:color w:val="000000"/>
                <w:sz w:val="20"/>
                <w:szCs w:val="20"/>
              </w:rPr>
              <w:t>15,90%</w:t>
            </w:r>
          </w:p>
        </w:tc>
      </w:tr>
      <w:tr w:rsidR="00554424" w:rsidRPr="00671517" w14:paraId="438A35E7" w14:textId="77777777" w:rsidTr="00481C1D">
        <w:trPr>
          <w:trHeight w:val="436"/>
          <w:jc w:val="center"/>
        </w:trPr>
        <w:tc>
          <w:tcPr>
            <w:tcW w:w="1653" w:type="dxa"/>
            <w:noWrap/>
            <w:vAlign w:val="center"/>
            <w:hideMark/>
          </w:tcPr>
          <w:p w14:paraId="438A35DF" w14:textId="77777777" w:rsidR="00554424" w:rsidRPr="00671517" w:rsidRDefault="00554424" w:rsidP="00AA06BD">
            <w:pP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Vlaams-Brabant</w:t>
            </w:r>
          </w:p>
        </w:tc>
        <w:tc>
          <w:tcPr>
            <w:tcW w:w="1228" w:type="dxa"/>
            <w:noWrap/>
            <w:vAlign w:val="center"/>
            <w:hideMark/>
          </w:tcPr>
          <w:p w14:paraId="438A35E0"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2.184.</w:t>
            </w:r>
            <w:r w:rsidRPr="00671517">
              <w:rPr>
                <w:rFonts w:asciiTheme="minorHAnsi" w:hAnsiTheme="minorHAnsi"/>
                <w:color w:val="000000"/>
                <w:sz w:val="20"/>
                <w:szCs w:val="20"/>
                <w:lang w:val="nl-BE" w:eastAsia="nl-BE"/>
              </w:rPr>
              <w:t>316</w:t>
            </w:r>
          </w:p>
        </w:tc>
        <w:tc>
          <w:tcPr>
            <w:tcW w:w="1228" w:type="dxa"/>
            <w:noWrap/>
            <w:vAlign w:val="center"/>
            <w:hideMark/>
          </w:tcPr>
          <w:p w14:paraId="438A35E1"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1.944.</w:t>
            </w:r>
            <w:r w:rsidRPr="00671517">
              <w:rPr>
                <w:rFonts w:asciiTheme="minorHAnsi" w:hAnsiTheme="minorHAnsi"/>
                <w:color w:val="000000"/>
                <w:sz w:val="20"/>
                <w:szCs w:val="20"/>
                <w:lang w:val="nl-BE" w:eastAsia="nl-BE"/>
              </w:rPr>
              <w:t>230</w:t>
            </w:r>
          </w:p>
        </w:tc>
        <w:tc>
          <w:tcPr>
            <w:tcW w:w="1228" w:type="dxa"/>
            <w:noWrap/>
            <w:vAlign w:val="center"/>
            <w:hideMark/>
          </w:tcPr>
          <w:p w14:paraId="438A35E2"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1.759.</w:t>
            </w:r>
            <w:r w:rsidRPr="00671517">
              <w:rPr>
                <w:rFonts w:asciiTheme="minorHAnsi" w:hAnsiTheme="minorHAnsi"/>
                <w:color w:val="000000"/>
                <w:sz w:val="20"/>
                <w:szCs w:val="20"/>
                <w:lang w:val="nl-BE" w:eastAsia="nl-BE"/>
              </w:rPr>
              <w:t>740</w:t>
            </w:r>
          </w:p>
        </w:tc>
        <w:tc>
          <w:tcPr>
            <w:tcW w:w="1228" w:type="dxa"/>
            <w:noWrap/>
            <w:vAlign w:val="center"/>
            <w:hideMark/>
          </w:tcPr>
          <w:p w14:paraId="438A35E3"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914.</w:t>
            </w:r>
            <w:r w:rsidRPr="00671517">
              <w:rPr>
                <w:rFonts w:asciiTheme="minorHAnsi" w:hAnsiTheme="minorHAnsi"/>
                <w:color w:val="000000"/>
                <w:sz w:val="20"/>
                <w:szCs w:val="20"/>
                <w:lang w:val="nl-BE" w:eastAsia="nl-BE"/>
              </w:rPr>
              <w:t>510</w:t>
            </w:r>
          </w:p>
        </w:tc>
        <w:tc>
          <w:tcPr>
            <w:tcW w:w="1228" w:type="dxa"/>
            <w:noWrap/>
            <w:vAlign w:val="center"/>
            <w:hideMark/>
          </w:tcPr>
          <w:p w14:paraId="438A35E4" w14:textId="77777777" w:rsidR="00554424" w:rsidRPr="00671517" w:rsidRDefault="00554424" w:rsidP="00AA06BD">
            <w:pPr>
              <w:jc w:val="right"/>
              <w:rPr>
                <w:rFonts w:asciiTheme="minorHAnsi" w:hAnsiTheme="minorHAnsi"/>
                <w:color w:val="000000"/>
                <w:sz w:val="20"/>
                <w:szCs w:val="20"/>
                <w:lang w:val="nl-BE" w:eastAsia="nl-BE"/>
              </w:rPr>
            </w:pPr>
            <w:r w:rsidRPr="004C039C">
              <w:rPr>
                <w:rFonts w:asciiTheme="minorHAnsi" w:hAnsiTheme="minorHAnsi"/>
                <w:color w:val="000000"/>
                <w:sz w:val="20"/>
                <w:szCs w:val="20"/>
                <w:lang w:val="nl-BE" w:eastAsia="nl-BE"/>
              </w:rPr>
              <w:t>649.</w:t>
            </w:r>
            <w:r w:rsidRPr="00671517">
              <w:rPr>
                <w:rFonts w:asciiTheme="minorHAnsi" w:hAnsiTheme="minorHAnsi"/>
                <w:color w:val="000000"/>
                <w:sz w:val="20"/>
                <w:szCs w:val="20"/>
                <w:lang w:val="nl-BE" w:eastAsia="nl-BE"/>
              </w:rPr>
              <w:t>358</w:t>
            </w:r>
          </w:p>
        </w:tc>
        <w:tc>
          <w:tcPr>
            <w:tcW w:w="1228" w:type="dxa"/>
            <w:noWrap/>
            <w:vAlign w:val="center"/>
            <w:hideMark/>
          </w:tcPr>
          <w:p w14:paraId="438A35E5" w14:textId="77777777" w:rsidR="00554424" w:rsidRPr="00E0271C" w:rsidRDefault="00554424" w:rsidP="00AA06BD">
            <w:pPr>
              <w:jc w:val="right"/>
              <w:rPr>
                <w:rFonts w:ascii="Calibri" w:hAnsi="Calibri"/>
                <w:b/>
                <w:color w:val="000000"/>
                <w:sz w:val="20"/>
                <w:szCs w:val="20"/>
                <w:lang w:val="nl-BE" w:eastAsia="nl-BE"/>
              </w:rPr>
            </w:pPr>
            <w:r w:rsidRPr="00E0271C">
              <w:rPr>
                <w:rFonts w:ascii="Calibri" w:hAnsi="Calibri"/>
                <w:b/>
                <w:color w:val="000000"/>
                <w:sz w:val="20"/>
                <w:szCs w:val="20"/>
                <w:lang w:val="nl-BE" w:eastAsia="nl-BE"/>
              </w:rPr>
              <w:t>7.452.154</w:t>
            </w:r>
          </w:p>
        </w:tc>
        <w:tc>
          <w:tcPr>
            <w:tcW w:w="916" w:type="dxa"/>
            <w:noWrap/>
            <w:vAlign w:val="center"/>
            <w:hideMark/>
          </w:tcPr>
          <w:p w14:paraId="438A35E6" w14:textId="77777777" w:rsidR="00554424" w:rsidRPr="00554424" w:rsidRDefault="00554424">
            <w:pPr>
              <w:jc w:val="center"/>
              <w:rPr>
                <w:rFonts w:asciiTheme="minorHAnsi" w:eastAsiaTheme="minorHAnsi" w:hAnsiTheme="minorHAnsi"/>
                <w:color w:val="000000"/>
                <w:sz w:val="20"/>
                <w:szCs w:val="20"/>
              </w:rPr>
            </w:pPr>
            <w:r w:rsidRPr="00554424">
              <w:rPr>
                <w:rFonts w:asciiTheme="minorHAnsi" w:hAnsiTheme="minorHAnsi"/>
                <w:color w:val="000000"/>
                <w:sz w:val="20"/>
                <w:szCs w:val="20"/>
              </w:rPr>
              <w:t>25,17%</w:t>
            </w:r>
          </w:p>
        </w:tc>
      </w:tr>
      <w:tr w:rsidR="00481C1D" w:rsidRPr="00671517" w14:paraId="438A35F0" w14:textId="77777777" w:rsidTr="00481C1D">
        <w:trPr>
          <w:trHeight w:val="436"/>
          <w:jc w:val="center"/>
        </w:trPr>
        <w:tc>
          <w:tcPr>
            <w:tcW w:w="1653" w:type="dxa"/>
            <w:noWrap/>
            <w:vAlign w:val="center"/>
            <w:hideMark/>
          </w:tcPr>
          <w:p w14:paraId="438A35E8" w14:textId="77777777" w:rsidR="00481C1D" w:rsidRPr="00671517" w:rsidRDefault="00481C1D" w:rsidP="00AA06BD">
            <w:pPr>
              <w:rPr>
                <w:rFonts w:asciiTheme="minorHAnsi" w:hAnsiTheme="minorHAnsi"/>
                <w:b/>
                <w:bCs/>
                <w:color w:val="000000"/>
                <w:sz w:val="20"/>
                <w:szCs w:val="20"/>
                <w:lang w:val="nl-BE" w:eastAsia="nl-BE"/>
              </w:rPr>
            </w:pPr>
            <w:r w:rsidRPr="00671517">
              <w:rPr>
                <w:rFonts w:asciiTheme="minorHAnsi" w:hAnsiTheme="minorHAnsi"/>
                <w:b/>
                <w:bCs/>
                <w:color w:val="000000"/>
                <w:sz w:val="20"/>
                <w:szCs w:val="20"/>
                <w:lang w:val="nl-BE" w:eastAsia="nl-BE"/>
              </w:rPr>
              <w:t>Totaal in EUR</w:t>
            </w:r>
          </w:p>
        </w:tc>
        <w:tc>
          <w:tcPr>
            <w:tcW w:w="1228" w:type="dxa"/>
            <w:noWrap/>
            <w:vAlign w:val="center"/>
            <w:hideMark/>
          </w:tcPr>
          <w:p w14:paraId="438A35E9" w14:textId="77777777" w:rsidR="00481C1D" w:rsidRPr="00671517" w:rsidRDefault="00481C1D" w:rsidP="00AA06BD">
            <w:pPr>
              <w:jc w:val="right"/>
              <w:rPr>
                <w:rFonts w:asciiTheme="minorHAnsi" w:hAnsiTheme="minorHAnsi"/>
                <w:b/>
                <w:bCs/>
                <w:color w:val="000000"/>
                <w:sz w:val="20"/>
                <w:szCs w:val="20"/>
                <w:lang w:val="nl-BE" w:eastAsia="nl-BE"/>
              </w:rPr>
            </w:pPr>
            <w:r w:rsidRPr="004C039C">
              <w:rPr>
                <w:rFonts w:asciiTheme="minorHAnsi" w:hAnsiTheme="minorHAnsi"/>
                <w:b/>
                <w:bCs/>
                <w:color w:val="000000"/>
                <w:sz w:val="20"/>
                <w:szCs w:val="20"/>
                <w:lang w:val="nl-BE" w:eastAsia="nl-BE"/>
              </w:rPr>
              <w:t>7.025.</w:t>
            </w:r>
            <w:r w:rsidRPr="00671517">
              <w:rPr>
                <w:rFonts w:asciiTheme="minorHAnsi" w:hAnsiTheme="minorHAnsi"/>
                <w:b/>
                <w:bCs/>
                <w:color w:val="000000"/>
                <w:sz w:val="20"/>
                <w:szCs w:val="20"/>
                <w:lang w:val="nl-BE" w:eastAsia="nl-BE"/>
              </w:rPr>
              <w:t>776</w:t>
            </w:r>
          </w:p>
        </w:tc>
        <w:tc>
          <w:tcPr>
            <w:tcW w:w="1228" w:type="dxa"/>
            <w:noWrap/>
            <w:vAlign w:val="center"/>
            <w:hideMark/>
          </w:tcPr>
          <w:p w14:paraId="438A35EA" w14:textId="77777777" w:rsidR="00481C1D" w:rsidRPr="00671517" w:rsidRDefault="00481C1D" w:rsidP="00AA06BD">
            <w:pPr>
              <w:jc w:val="right"/>
              <w:rPr>
                <w:rFonts w:asciiTheme="minorHAnsi" w:hAnsiTheme="minorHAnsi"/>
                <w:b/>
                <w:bCs/>
                <w:color w:val="000000"/>
                <w:sz w:val="20"/>
                <w:szCs w:val="20"/>
                <w:lang w:val="nl-BE" w:eastAsia="nl-BE"/>
              </w:rPr>
            </w:pPr>
            <w:r w:rsidRPr="004C039C">
              <w:rPr>
                <w:rFonts w:asciiTheme="minorHAnsi" w:hAnsiTheme="minorHAnsi"/>
                <w:b/>
                <w:bCs/>
                <w:color w:val="000000"/>
                <w:sz w:val="20"/>
                <w:szCs w:val="20"/>
                <w:lang w:val="nl-BE" w:eastAsia="nl-BE"/>
              </w:rPr>
              <w:t>9.125.</w:t>
            </w:r>
            <w:r w:rsidRPr="00671517">
              <w:rPr>
                <w:rFonts w:asciiTheme="minorHAnsi" w:hAnsiTheme="minorHAnsi"/>
                <w:b/>
                <w:bCs/>
                <w:color w:val="000000"/>
                <w:sz w:val="20"/>
                <w:szCs w:val="20"/>
                <w:lang w:val="nl-BE" w:eastAsia="nl-BE"/>
              </w:rPr>
              <w:t>330</w:t>
            </w:r>
          </w:p>
        </w:tc>
        <w:tc>
          <w:tcPr>
            <w:tcW w:w="1228" w:type="dxa"/>
            <w:noWrap/>
            <w:vAlign w:val="center"/>
            <w:hideMark/>
          </w:tcPr>
          <w:p w14:paraId="438A35EB" w14:textId="77777777" w:rsidR="00481C1D" w:rsidRPr="00671517" w:rsidRDefault="00481C1D" w:rsidP="00AA06BD">
            <w:pPr>
              <w:jc w:val="right"/>
              <w:rPr>
                <w:rFonts w:asciiTheme="minorHAnsi" w:hAnsiTheme="minorHAnsi"/>
                <w:b/>
                <w:bCs/>
                <w:color w:val="000000"/>
                <w:sz w:val="20"/>
                <w:szCs w:val="20"/>
                <w:lang w:val="nl-BE" w:eastAsia="nl-BE"/>
              </w:rPr>
            </w:pPr>
            <w:r w:rsidRPr="004C039C">
              <w:rPr>
                <w:rFonts w:asciiTheme="minorHAnsi" w:hAnsiTheme="minorHAnsi"/>
                <w:b/>
                <w:bCs/>
                <w:color w:val="000000"/>
                <w:sz w:val="20"/>
                <w:szCs w:val="20"/>
                <w:lang w:val="nl-BE" w:eastAsia="nl-BE"/>
              </w:rPr>
              <w:t>6.067.</w:t>
            </w:r>
            <w:r w:rsidRPr="00671517">
              <w:rPr>
                <w:rFonts w:asciiTheme="minorHAnsi" w:hAnsiTheme="minorHAnsi"/>
                <w:b/>
                <w:bCs/>
                <w:color w:val="000000"/>
                <w:sz w:val="20"/>
                <w:szCs w:val="20"/>
                <w:lang w:val="nl-BE" w:eastAsia="nl-BE"/>
              </w:rPr>
              <w:t>415</w:t>
            </w:r>
          </w:p>
        </w:tc>
        <w:tc>
          <w:tcPr>
            <w:tcW w:w="1228" w:type="dxa"/>
            <w:noWrap/>
            <w:vAlign w:val="center"/>
            <w:hideMark/>
          </w:tcPr>
          <w:p w14:paraId="438A35EC" w14:textId="77777777" w:rsidR="00481C1D" w:rsidRPr="00671517" w:rsidRDefault="00481C1D" w:rsidP="00AA06BD">
            <w:pPr>
              <w:jc w:val="right"/>
              <w:rPr>
                <w:rFonts w:asciiTheme="minorHAnsi" w:hAnsiTheme="minorHAnsi"/>
                <w:b/>
                <w:bCs/>
                <w:color w:val="000000"/>
                <w:sz w:val="20"/>
                <w:szCs w:val="20"/>
                <w:lang w:val="nl-BE" w:eastAsia="nl-BE"/>
              </w:rPr>
            </w:pPr>
            <w:r w:rsidRPr="004C039C">
              <w:rPr>
                <w:rFonts w:asciiTheme="minorHAnsi" w:hAnsiTheme="minorHAnsi"/>
                <w:b/>
                <w:bCs/>
                <w:color w:val="000000"/>
                <w:sz w:val="20"/>
                <w:szCs w:val="20"/>
                <w:lang w:val="nl-BE" w:eastAsia="nl-BE"/>
              </w:rPr>
              <w:t>3.524.</w:t>
            </w:r>
            <w:r w:rsidRPr="00671517">
              <w:rPr>
                <w:rFonts w:asciiTheme="minorHAnsi" w:hAnsiTheme="minorHAnsi"/>
                <w:b/>
                <w:bCs/>
                <w:color w:val="000000"/>
                <w:sz w:val="20"/>
                <w:szCs w:val="20"/>
                <w:lang w:val="nl-BE" w:eastAsia="nl-BE"/>
              </w:rPr>
              <w:t>275</w:t>
            </w:r>
          </w:p>
        </w:tc>
        <w:tc>
          <w:tcPr>
            <w:tcW w:w="1228" w:type="dxa"/>
            <w:noWrap/>
            <w:vAlign w:val="center"/>
            <w:hideMark/>
          </w:tcPr>
          <w:p w14:paraId="438A35ED" w14:textId="77777777" w:rsidR="00481C1D" w:rsidRPr="00671517" w:rsidRDefault="00481C1D" w:rsidP="00AA06BD">
            <w:pPr>
              <w:jc w:val="right"/>
              <w:rPr>
                <w:rFonts w:asciiTheme="minorHAnsi" w:hAnsiTheme="minorHAnsi"/>
                <w:b/>
                <w:bCs/>
                <w:color w:val="000000"/>
                <w:sz w:val="20"/>
                <w:szCs w:val="20"/>
                <w:lang w:val="nl-BE" w:eastAsia="nl-BE"/>
              </w:rPr>
            </w:pPr>
            <w:r w:rsidRPr="004C039C">
              <w:rPr>
                <w:rFonts w:asciiTheme="minorHAnsi" w:hAnsiTheme="minorHAnsi"/>
                <w:b/>
                <w:bCs/>
                <w:color w:val="000000"/>
                <w:sz w:val="20"/>
                <w:szCs w:val="20"/>
                <w:lang w:val="nl-BE" w:eastAsia="nl-BE"/>
              </w:rPr>
              <w:t>3.866.</w:t>
            </w:r>
            <w:r w:rsidRPr="00671517">
              <w:rPr>
                <w:rFonts w:asciiTheme="minorHAnsi" w:hAnsiTheme="minorHAnsi"/>
                <w:b/>
                <w:bCs/>
                <w:color w:val="000000"/>
                <w:sz w:val="20"/>
                <w:szCs w:val="20"/>
                <w:lang w:val="nl-BE" w:eastAsia="nl-BE"/>
              </w:rPr>
              <w:t>992</w:t>
            </w:r>
          </w:p>
        </w:tc>
        <w:tc>
          <w:tcPr>
            <w:tcW w:w="1228" w:type="dxa"/>
            <w:noWrap/>
            <w:vAlign w:val="center"/>
            <w:hideMark/>
          </w:tcPr>
          <w:p w14:paraId="438A35EE" w14:textId="77777777" w:rsidR="00481C1D" w:rsidRPr="00E0271C" w:rsidRDefault="00481C1D" w:rsidP="00AA06BD">
            <w:pPr>
              <w:jc w:val="right"/>
              <w:rPr>
                <w:rFonts w:ascii="Calibri" w:hAnsi="Calibri"/>
                <w:b/>
                <w:bCs/>
                <w:color w:val="000000"/>
                <w:sz w:val="20"/>
                <w:szCs w:val="20"/>
                <w:lang w:val="nl-BE" w:eastAsia="nl-BE"/>
              </w:rPr>
            </w:pPr>
            <w:r w:rsidRPr="00E0271C">
              <w:rPr>
                <w:rFonts w:ascii="Calibri" w:hAnsi="Calibri"/>
                <w:b/>
                <w:bCs/>
                <w:color w:val="000000"/>
                <w:sz w:val="20"/>
                <w:szCs w:val="20"/>
                <w:lang w:val="nl-BE" w:eastAsia="nl-BE"/>
              </w:rPr>
              <w:t>29.609.787</w:t>
            </w:r>
          </w:p>
        </w:tc>
        <w:tc>
          <w:tcPr>
            <w:tcW w:w="916" w:type="dxa"/>
            <w:noWrap/>
            <w:vAlign w:val="center"/>
            <w:hideMark/>
          </w:tcPr>
          <w:p w14:paraId="438A35EF" w14:textId="77777777" w:rsidR="00481C1D" w:rsidRPr="00671517" w:rsidRDefault="00481C1D" w:rsidP="00AA06BD">
            <w:pPr>
              <w:jc w:val="center"/>
              <w:rPr>
                <w:rFonts w:asciiTheme="minorHAnsi" w:hAnsiTheme="minorHAnsi"/>
                <w:color w:val="000000"/>
                <w:sz w:val="20"/>
                <w:szCs w:val="20"/>
                <w:lang w:val="nl-BE" w:eastAsia="nl-BE"/>
              </w:rPr>
            </w:pPr>
            <w:r w:rsidRPr="00671517">
              <w:rPr>
                <w:rFonts w:asciiTheme="minorHAnsi" w:hAnsiTheme="minorHAnsi"/>
                <w:color w:val="000000"/>
                <w:sz w:val="20"/>
                <w:szCs w:val="20"/>
                <w:lang w:val="nl-BE" w:eastAsia="nl-BE"/>
              </w:rPr>
              <w:t>100,00%</w:t>
            </w:r>
          </w:p>
        </w:tc>
      </w:tr>
    </w:tbl>
    <w:p w14:paraId="438A35F1" w14:textId="77777777" w:rsidR="00481C1D" w:rsidRDefault="00481C1D" w:rsidP="00B6071A">
      <w:pPr>
        <w:ind w:left="284"/>
        <w:jc w:val="both"/>
        <w:rPr>
          <w:rFonts w:ascii="Verdana" w:hAnsi="Verdana"/>
          <w:sz w:val="20"/>
          <w:szCs w:val="20"/>
          <w:lang w:val="nl-BE"/>
        </w:rPr>
      </w:pPr>
    </w:p>
    <w:p w14:paraId="438A35F4" w14:textId="77777777" w:rsidR="00671517" w:rsidRDefault="00671517" w:rsidP="00671517">
      <w:pPr>
        <w:ind w:left="284"/>
        <w:jc w:val="both"/>
        <w:rPr>
          <w:rFonts w:ascii="Verdana" w:hAnsi="Verdana"/>
          <w:sz w:val="20"/>
          <w:szCs w:val="20"/>
          <w:lang w:val="nl-BE"/>
        </w:rPr>
      </w:pPr>
      <w:r w:rsidRPr="00671517">
        <w:rPr>
          <w:rFonts w:ascii="Verdana" w:hAnsi="Verdana"/>
          <w:sz w:val="20"/>
          <w:szCs w:val="20"/>
          <w:lang w:val="nl-BE"/>
        </w:rPr>
        <w:t xml:space="preserve">Een mogelijke verklaring waarom de bedragen van de subsidie en de heffing per provincie voor de periode 2012-2015 verschillen is dat de onderliggende mechanismen van beide instrumenten verschillen. </w:t>
      </w:r>
    </w:p>
    <w:p w14:paraId="438A35F5" w14:textId="77777777" w:rsidR="00671517" w:rsidRPr="00671517" w:rsidRDefault="00671517" w:rsidP="00671517">
      <w:pPr>
        <w:ind w:left="284"/>
        <w:jc w:val="both"/>
        <w:rPr>
          <w:rFonts w:ascii="Verdana" w:hAnsi="Verdana"/>
          <w:sz w:val="20"/>
          <w:szCs w:val="20"/>
          <w:lang w:val="nl-BE"/>
        </w:rPr>
      </w:pPr>
    </w:p>
    <w:p w14:paraId="438A35F6" w14:textId="77777777" w:rsidR="00671517" w:rsidRPr="00671517" w:rsidRDefault="00671517" w:rsidP="00671517">
      <w:pPr>
        <w:ind w:left="284"/>
        <w:jc w:val="both"/>
        <w:rPr>
          <w:rFonts w:ascii="Verdana" w:hAnsi="Verdana"/>
          <w:sz w:val="20"/>
          <w:szCs w:val="20"/>
          <w:lang w:val="nl-BE"/>
        </w:rPr>
      </w:pPr>
      <w:r w:rsidRPr="00671517">
        <w:rPr>
          <w:rFonts w:ascii="Verdana" w:hAnsi="Verdana"/>
          <w:sz w:val="20"/>
          <w:szCs w:val="20"/>
          <w:lang w:val="nl-BE"/>
        </w:rPr>
        <w:t xml:space="preserve">De heffing werkt aanbodgericht. De heffing volgt automatisch op de langdurige leegstand en/of verwaarlozing van een bedrijfsruimte. De omvang van de totale geïnde heffing in een provincie voor een gegeven periode is dus in belangrijke mate afhankelijk van het aantal opnames in de inventaris. </w:t>
      </w:r>
    </w:p>
    <w:p w14:paraId="438A35F7" w14:textId="77777777" w:rsidR="00671517" w:rsidRDefault="00671517" w:rsidP="00671517">
      <w:pPr>
        <w:ind w:left="284"/>
        <w:jc w:val="both"/>
        <w:rPr>
          <w:rFonts w:ascii="Verdana" w:hAnsi="Verdana"/>
          <w:sz w:val="20"/>
          <w:szCs w:val="20"/>
          <w:lang w:val="nl-BE"/>
        </w:rPr>
      </w:pPr>
    </w:p>
    <w:p w14:paraId="438A35F8" w14:textId="77777777" w:rsidR="00671517" w:rsidRPr="00671517" w:rsidRDefault="00671517" w:rsidP="00671517">
      <w:pPr>
        <w:ind w:left="284"/>
        <w:jc w:val="both"/>
        <w:rPr>
          <w:rFonts w:ascii="Verdana" w:hAnsi="Verdana"/>
          <w:sz w:val="20"/>
          <w:szCs w:val="20"/>
          <w:lang w:val="nl-BE"/>
        </w:rPr>
      </w:pPr>
      <w:r w:rsidRPr="00671517">
        <w:rPr>
          <w:rFonts w:ascii="Verdana" w:hAnsi="Verdana"/>
          <w:sz w:val="20"/>
          <w:szCs w:val="20"/>
          <w:lang w:val="nl-BE"/>
        </w:rPr>
        <w:t xml:space="preserve">De subsidie werkt vraaggericht. De toekenning van een subsidie is afhankelijk van het initiatief van de eigenaar en de geldende toekenningscriteria, namelijk duurtijd eigenaarschap en aard van de vernieuwingswerken waarvan sanering een onderdeel moet vormen. De verschillen naar subsidiebedragen tussen provincies zijn moeilijker te verklaren. De vergelijking van bovenstaande tabellen stelt dat voor de provincies Limburg, Oost-Vlaanderen en West-Vlaanderen een groot verschil te zien is tussen hun aandeel in de totale leegstand in Vlaanderen en toegekende subsidiebedragen. Voor heel Vlaanderen wordt de subsidieregeling op een zelfde manier gecommuniceerd en gelden dezelfde toekenningscriteria. Bijgevolg heeft Ruimte Vlaanderen weinig invloed op waarvoor, door wie en waar een subsidie wordt aangevraagd. </w:t>
      </w:r>
    </w:p>
    <w:p w14:paraId="438A35F9" w14:textId="77777777" w:rsidR="00671517" w:rsidRDefault="00671517" w:rsidP="00671517">
      <w:pPr>
        <w:ind w:left="284"/>
        <w:jc w:val="both"/>
        <w:rPr>
          <w:rFonts w:ascii="Verdana" w:hAnsi="Verdana"/>
          <w:sz w:val="20"/>
          <w:szCs w:val="20"/>
          <w:lang w:val="nl-BE"/>
        </w:rPr>
      </w:pPr>
    </w:p>
    <w:p w14:paraId="438A35FA" w14:textId="77777777" w:rsidR="00671517" w:rsidRPr="00671517" w:rsidRDefault="00671517" w:rsidP="00671517">
      <w:pPr>
        <w:ind w:left="284"/>
        <w:jc w:val="both"/>
        <w:rPr>
          <w:rFonts w:ascii="Verdana" w:hAnsi="Verdana"/>
          <w:sz w:val="20"/>
          <w:szCs w:val="20"/>
          <w:lang w:val="nl-BE"/>
        </w:rPr>
      </w:pPr>
      <w:r w:rsidRPr="00671517">
        <w:rPr>
          <w:rFonts w:ascii="Verdana" w:hAnsi="Verdana"/>
          <w:sz w:val="20"/>
          <w:szCs w:val="20"/>
          <w:lang w:val="nl-BE"/>
        </w:rPr>
        <w:t>Mogelijke andere verklaringen zijn dat het gebouwenbestand in de provincies onderling verschillend is op het vlak van bv. verouderde of onaangepaste bedrijfspatrimonium die niet in aanmerking komen voor hergebruik zonder sanering.</w:t>
      </w:r>
    </w:p>
    <w:p w14:paraId="438A35FB" w14:textId="77777777" w:rsidR="00671517" w:rsidRDefault="00671517" w:rsidP="00671517">
      <w:pPr>
        <w:ind w:left="284"/>
        <w:jc w:val="both"/>
        <w:rPr>
          <w:rFonts w:ascii="Verdana" w:hAnsi="Verdana"/>
          <w:sz w:val="20"/>
          <w:szCs w:val="20"/>
          <w:lang w:val="nl-BE"/>
        </w:rPr>
      </w:pPr>
    </w:p>
    <w:p w14:paraId="438A35FC" w14:textId="77777777" w:rsidR="00671517" w:rsidRPr="00671517" w:rsidRDefault="00671517" w:rsidP="00671517">
      <w:pPr>
        <w:ind w:left="284"/>
        <w:jc w:val="both"/>
        <w:rPr>
          <w:rFonts w:ascii="Verdana" w:hAnsi="Verdana"/>
          <w:sz w:val="20"/>
          <w:szCs w:val="20"/>
          <w:lang w:val="nl-BE"/>
        </w:rPr>
      </w:pPr>
      <w:r w:rsidRPr="00671517">
        <w:rPr>
          <w:rFonts w:ascii="Verdana" w:hAnsi="Verdana"/>
          <w:sz w:val="20"/>
          <w:szCs w:val="20"/>
          <w:lang w:val="nl-BE"/>
        </w:rPr>
        <w:t>Het moet benadrukt worden dat voornoemde factoren slechts mogelijke oorzaken kunnen zijn. Deze geven bijgevolg geen sluitend antwoord op de verschillen in het aantal subsidies en geïnventariseerde panden per jaar en provincie. De administratie beschikt niet over informatie en data om deze mogelijke verklaringen te staven. Momenteel is een evaluatieoefening</w:t>
      </w:r>
      <w:r w:rsidR="001366D3">
        <w:rPr>
          <w:rFonts w:ascii="Verdana" w:hAnsi="Verdana"/>
          <w:sz w:val="20"/>
          <w:szCs w:val="20"/>
          <w:lang w:val="nl-BE"/>
        </w:rPr>
        <w:t xml:space="preserve"> door het beleidsdomein ruimtelijke ordening</w:t>
      </w:r>
      <w:r w:rsidRPr="00671517">
        <w:rPr>
          <w:rFonts w:ascii="Verdana" w:hAnsi="Verdana"/>
          <w:sz w:val="20"/>
          <w:szCs w:val="20"/>
          <w:lang w:val="nl-BE"/>
        </w:rPr>
        <w:t xml:space="preserve"> lopende van het beleidsinstrumentarium inzake leegstaande en/of verwaarloosde bedrijfsruimten. De resultaten van deze evaluatiestudie zullen wellicht meer inzicht bieden in de werking van het instrumentarium.</w:t>
      </w:r>
    </w:p>
    <w:sectPr w:rsidR="00671517" w:rsidRPr="0067151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79D819E9"/>
    <w:multiLevelType w:val="hybridMultilevel"/>
    <w:tmpl w:val="BE4E5C98"/>
    <w:lvl w:ilvl="0" w:tplc="6876CE0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6322E"/>
    <w:rsid w:val="00096526"/>
    <w:rsid w:val="000976E9"/>
    <w:rsid w:val="000C4E8C"/>
    <w:rsid w:val="000F3532"/>
    <w:rsid w:val="00132448"/>
    <w:rsid w:val="001366D3"/>
    <w:rsid w:val="0015217F"/>
    <w:rsid w:val="001D7911"/>
    <w:rsid w:val="00210C07"/>
    <w:rsid w:val="00223A9B"/>
    <w:rsid w:val="00234455"/>
    <w:rsid w:val="002346BF"/>
    <w:rsid w:val="00290833"/>
    <w:rsid w:val="002A6027"/>
    <w:rsid w:val="002B44F5"/>
    <w:rsid w:val="002D7176"/>
    <w:rsid w:val="00301372"/>
    <w:rsid w:val="00326A58"/>
    <w:rsid w:val="00345393"/>
    <w:rsid w:val="00386BED"/>
    <w:rsid w:val="00397A5A"/>
    <w:rsid w:val="003A470F"/>
    <w:rsid w:val="003F1BBB"/>
    <w:rsid w:val="00400D35"/>
    <w:rsid w:val="00437D79"/>
    <w:rsid w:val="004754C3"/>
    <w:rsid w:val="00481C1D"/>
    <w:rsid w:val="004C039C"/>
    <w:rsid w:val="004F30D4"/>
    <w:rsid w:val="004F42C8"/>
    <w:rsid w:val="00515B2D"/>
    <w:rsid w:val="00554424"/>
    <w:rsid w:val="0056360C"/>
    <w:rsid w:val="00571C63"/>
    <w:rsid w:val="005A2334"/>
    <w:rsid w:val="005B1F2D"/>
    <w:rsid w:val="005C475B"/>
    <w:rsid w:val="005D5073"/>
    <w:rsid w:val="005E38CA"/>
    <w:rsid w:val="006563FB"/>
    <w:rsid w:val="00664B1C"/>
    <w:rsid w:val="00671517"/>
    <w:rsid w:val="00687BD2"/>
    <w:rsid w:val="0069528B"/>
    <w:rsid w:val="00697994"/>
    <w:rsid w:val="006A4E6B"/>
    <w:rsid w:val="0071248C"/>
    <w:rsid w:val="007252C7"/>
    <w:rsid w:val="0075030D"/>
    <w:rsid w:val="00755A09"/>
    <w:rsid w:val="007C07F4"/>
    <w:rsid w:val="007D1628"/>
    <w:rsid w:val="007F59CA"/>
    <w:rsid w:val="00846416"/>
    <w:rsid w:val="008D1BFB"/>
    <w:rsid w:val="008D2E7F"/>
    <w:rsid w:val="008D5DB4"/>
    <w:rsid w:val="00921E6C"/>
    <w:rsid w:val="00932B48"/>
    <w:rsid w:val="00933AC0"/>
    <w:rsid w:val="009347E0"/>
    <w:rsid w:val="0097332A"/>
    <w:rsid w:val="009C0E6D"/>
    <w:rsid w:val="009D7043"/>
    <w:rsid w:val="009E1B70"/>
    <w:rsid w:val="00A03CB4"/>
    <w:rsid w:val="00A12877"/>
    <w:rsid w:val="00A31AB5"/>
    <w:rsid w:val="00A51FBA"/>
    <w:rsid w:val="00AA1EB5"/>
    <w:rsid w:val="00AB6C0E"/>
    <w:rsid w:val="00AE4255"/>
    <w:rsid w:val="00AE54F3"/>
    <w:rsid w:val="00AF015F"/>
    <w:rsid w:val="00B45EB2"/>
    <w:rsid w:val="00B5290D"/>
    <w:rsid w:val="00B6071A"/>
    <w:rsid w:val="00B66D84"/>
    <w:rsid w:val="00B92631"/>
    <w:rsid w:val="00BC4CFE"/>
    <w:rsid w:val="00BE425A"/>
    <w:rsid w:val="00C8323A"/>
    <w:rsid w:val="00C91441"/>
    <w:rsid w:val="00CC0DB2"/>
    <w:rsid w:val="00D02FE6"/>
    <w:rsid w:val="00D41142"/>
    <w:rsid w:val="00D63EE9"/>
    <w:rsid w:val="00D71D99"/>
    <w:rsid w:val="00D754F2"/>
    <w:rsid w:val="00D77D41"/>
    <w:rsid w:val="00DB41C0"/>
    <w:rsid w:val="00DC184A"/>
    <w:rsid w:val="00DC4DB6"/>
    <w:rsid w:val="00DD12A7"/>
    <w:rsid w:val="00E0066C"/>
    <w:rsid w:val="00E0271C"/>
    <w:rsid w:val="00E55200"/>
    <w:rsid w:val="00E85C8D"/>
    <w:rsid w:val="00ED4AD8"/>
    <w:rsid w:val="00EE4D0D"/>
    <w:rsid w:val="00F10ABC"/>
    <w:rsid w:val="00F1617F"/>
    <w:rsid w:val="00FA29D6"/>
    <w:rsid w:val="00FB7BA4"/>
    <w:rsid w:val="00FD5BF4"/>
    <w:rsid w:val="00FE5406"/>
    <w:rsid w:val="00FF7F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A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323A"/>
    <w:rPr>
      <w:rFonts w:ascii="Tahoma" w:hAnsi="Tahoma" w:cs="Tahoma"/>
      <w:sz w:val="16"/>
      <w:szCs w:val="16"/>
    </w:rPr>
  </w:style>
  <w:style w:type="character" w:customStyle="1" w:styleId="BallontekstChar">
    <w:name w:val="Ballontekst Char"/>
    <w:basedOn w:val="Standaardalinea-lettertype"/>
    <w:link w:val="Ballontekst"/>
    <w:rsid w:val="00C8323A"/>
    <w:rPr>
      <w:rFonts w:ascii="Tahoma" w:hAnsi="Tahoma" w:cs="Tahoma"/>
      <w:sz w:val="16"/>
      <w:szCs w:val="16"/>
      <w:lang w:val="nl-NL" w:eastAsia="nl-NL"/>
    </w:rPr>
  </w:style>
  <w:style w:type="table" w:styleId="Tabellijst4">
    <w:name w:val="Table List 4"/>
    <w:basedOn w:val="Standaardtabel"/>
    <w:unhideWhenUsed/>
    <w:rsid w:val="007F59C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raster">
    <w:name w:val="Table Grid"/>
    <w:basedOn w:val="Standaardtabel"/>
    <w:rsid w:val="0039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6A4E6B"/>
    <w:rPr>
      <w:sz w:val="16"/>
      <w:szCs w:val="16"/>
    </w:rPr>
  </w:style>
  <w:style w:type="paragraph" w:styleId="Tekstopmerking">
    <w:name w:val="annotation text"/>
    <w:basedOn w:val="Standaard"/>
    <w:link w:val="TekstopmerkingChar"/>
    <w:rsid w:val="006A4E6B"/>
    <w:rPr>
      <w:sz w:val="20"/>
      <w:szCs w:val="20"/>
    </w:rPr>
  </w:style>
  <w:style w:type="character" w:customStyle="1" w:styleId="TekstopmerkingChar">
    <w:name w:val="Tekst opmerking Char"/>
    <w:basedOn w:val="Standaardalinea-lettertype"/>
    <w:link w:val="Tekstopmerking"/>
    <w:rsid w:val="006A4E6B"/>
    <w:rPr>
      <w:lang w:val="nl-NL" w:eastAsia="nl-NL"/>
    </w:rPr>
  </w:style>
  <w:style w:type="paragraph" w:styleId="Onderwerpvanopmerking">
    <w:name w:val="annotation subject"/>
    <w:basedOn w:val="Tekstopmerking"/>
    <w:next w:val="Tekstopmerking"/>
    <w:link w:val="OnderwerpvanopmerkingChar"/>
    <w:rsid w:val="006A4E6B"/>
    <w:rPr>
      <w:b/>
      <w:bCs/>
    </w:rPr>
  </w:style>
  <w:style w:type="character" w:customStyle="1" w:styleId="OnderwerpvanopmerkingChar">
    <w:name w:val="Onderwerp van opmerking Char"/>
    <w:basedOn w:val="TekstopmerkingChar"/>
    <w:link w:val="Onderwerpvanopmerking"/>
    <w:rsid w:val="006A4E6B"/>
    <w:rPr>
      <w:b/>
      <w:bCs/>
      <w:lang w:val="nl-NL" w:eastAsia="nl-NL"/>
    </w:rPr>
  </w:style>
  <w:style w:type="paragraph" w:styleId="Revisie">
    <w:name w:val="Revision"/>
    <w:hidden/>
    <w:uiPriority w:val="99"/>
    <w:semiHidden/>
    <w:rsid w:val="00933AC0"/>
    <w:rPr>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323A"/>
    <w:rPr>
      <w:rFonts w:ascii="Tahoma" w:hAnsi="Tahoma" w:cs="Tahoma"/>
      <w:sz w:val="16"/>
      <w:szCs w:val="16"/>
    </w:rPr>
  </w:style>
  <w:style w:type="character" w:customStyle="1" w:styleId="BallontekstChar">
    <w:name w:val="Ballontekst Char"/>
    <w:basedOn w:val="Standaardalinea-lettertype"/>
    <w:link w:val="Ballontekst"/>
    <w:rsid w:val="00C8323A"/>
    <w:rPr>
      <w:rFonts w:ascii="Tahoma" w:hAnsi="Tahoma" w:cs="Tahoma"/>
      <w:sz w:val="16"/>
      <w:szCs w:val="16"/>
      <w:lang w:val="nl-NL" w:eastAsia="nl-NL"/>
    </w:rPr>
  </w:style>
  <w:style w:type="table" w:styleId="Tabellijst4">
    <w:name w:val="Table List 4"/>
    <w:basedOn w:val="Standaardtabel"/>
    <w:unhideWhenUsed/>
    <w:rsid w:val="007F59C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raster">
    <w:name w:val="Table Grid"/>
    <w:basedOn w:val="Standaardtabel"/>
    <w:rsid w:val="0039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6A4E6B"/>
    <w:rPr>
      <w:sz w:val="16"/>
      <w:szCs w:val="16"/>
    </w:rPr>
  </w:style>
  <w:style w:type="paragraph" w:styleId="Tekstopmerking">
    <w:name w:val="annotation text"/>
    <w:basedOn w:val="Standaard"/>
    <w:link w:val="TekstopmerkingChar"/>
    <w:rsid w:val="006A4E6B"/>
    <w:rPr>
      <w:sz w:val="20"/>
      <w:szCs w:val="20"/>
    </w:rPr>
  </w:style>
  <w:style w:type="character" w:customStyle="1" w:styleId="TekstopmerkingChar">
    <w:name w:val="Tekst opmerking Char"/>
    <w:basedOn w:val="Standaardalinea-lettertype"/>
    <w:link w:val="Tekstopmerking"/>
    <w:rsid w:val="006A4E6B"/>
    <w:rPr>
      <w:lang w:val="nl-NL" w:eastAsia="nl-NL"/>
    </w:rPr>
  </w:style>
  <w:style w:type="paragraph" w:styleId="Onderwerpvanopmerking">
    <w:name w:val="annotation subject"/>
    <w:basedOn w:val="Tekstopmerking"/>
    <w:next w:val="Tekstopmerking"/>
    <w:link w:val="OnderwerpvanopmerkingChar"/>
    <w:rsid w:val="006A4E6B"/>
    <w:rPr>
      <w:b/>
      <w:bCs/>
    </w:rPr>
  </w:style>
  <w:style w:type="character" w:customStyle="1" w:styleId="OnderwerpvanopmerkingChar">
    <w:name w:val="Onderwerp van opmerking Char"/>
    <w:basedOn w:val="TekstopmerkingChar"/>
    <w:link w:val="Onderwerpvanopmerking"/>
    <w:rsid w:val="006A4E6B"/>
    <w:rPr>
      <w:b/>
      <w:bCs/>
      <w:lang w:val="nl-NL" w:eastAsia="nl-NL"/>
    </w:rPr>
  </w:style>
  <w:style w:type="paragraph" w:styleId="Revisie">
    <w:name w:val="Revision"/>
    <w:hidden/>
    <w:uiPriority w:val="99"/>
    <w:semiHidden/>
    <w:rsid w:val="00933AC0"/>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39">
      <w:bodyDiv w:val="1"/>
      <w:marLeft w:val="0"/>
      <w:marRight w:val="0"/>
      <w:marTop w:val="0"/>
      <w:marBottom w:val="0"/>
      <w:divBdr>
        <w:top w:val="none" w:sz="0" w:space="0" w:color="auto"/>
        <w:left w:val="none" w:sz="0" w:space="0" w:color="auto"/>
        <w:bottom w:val="none" w:sz="0" w:space="0" w:color="auto"/>
        <w:right w:val="none" w:sz="0" w:space="0" w:color="auto"/>
      </w:divBdr>
    </w:div>
    <w:div w:id="364646270">
      <w:bodyDiv w:val="1"/>
      <w:marLeft w:val="0"/>
      <w:marRight w:val="0"/>
      <w:marTop w:val="0"/>
      <w:marBottom w:val="0"/>
      <w:divBdr>
        <w:top w:val="none" w:sz="0" w:space="0" w:color="auto"/>
        <w:left w:val="none" w:sz="0" w:space="0" w:color="auto"/>
        <w:bottom w:val="none" w:sz="0" w:space="0" w:color="auto"/>
        <w:right w:val="none" w:sz="0" w:space="0" w:color="auto"/>
      </w:divBdr>
    </w:div>
    <w:div w:id="761029281">
      <w:bodyDiv w:val="1"/>
      <w:marLeft w:val="0"/>
      <w:marRight w:val="0"/>
      <w:marTop w:val="0"/>
      <w:marBottom w:val="0"/>
      <w:divBdr>
        <w:top w:val="none" w:sz="0" w:space="0" w:color="auto"/>
        <w:left w:val="none" w:sz="0" w:space="0" w:color="auto"/>
        <w:bottom w:val="none" w:sz="0" w:space="0" w:color="auto"/>
        <w:right w:val="none" w:sz="0" w:space="0" w:color="auto"/>
      </w:divBdr>
    </w:div>
    <w:div w:id="1035693060">
      <w:bodyDiv w:val="1"/>
      <w:marLeft w:val="0"/>
      <w:marRight w:val="0"/>
      <w:marTop w:val="0"/>
      <w:marBottom w:val="0"/>
      <w:divBdr>
        <w:top w:val="none" w:sz="0" w:space="0" w:color="auto"/>
        <w:left w:val="none" w:sz="0" w:space="0" w:color="auto"/>
        <w:bottom w:val="none" w:sz="0" w:space="0" w:color="auto"/>
        <w:right w:val="none" w:sz="0" w:space="0" w:color="auto"/>
      </w:divBdr>
    </w:div>
    <w:div w:id="1133862742">
      <w:bodyDiv w:val="1"/>
      <w:marLeft w:val="0"/>
      <w:marRight w:val="0"/>
      <w:marTop w:val="0"/>
      <w:marBottom w:val="0"/>
      <w:divBdr>
        <w:top w:val="none" w:sz="0" w:space="0" w:color="auto"/>
        <w:left w:val="none" w:sz="0" w:space="0" w:color="auto"/>
        <w:bottom w:val="none" w:sz="0" w:space="0" w:color="auto"/>
        <w:right w:val="none" w:sz="0" w:space="0" w:color="auto"/>
      </w:divBdr>
    </w:div>
    <w:div w:id="1423455977">
      <w:bodyDiv w:val="1"/>
      <w:marLeft w:val="0"/>
      <w:marRight w:val="0"/>
      <w:marTop w:val="0"/>
      <w:marBottom w:val="0"/>
      <w:divBdr>
        <w:top w:val="none" w:sz="0" w:space="0" w:color="auto"/>
        <w:left w:val="none" w:sz="0" w:space="0" w:color="auto"/>
        <w:bottom w:val="none" w:sz="0" w:space="0" w:color="auto"/>
        <w:right w:val="none" w:sz="0" w:space="0" w:color="auto"/>
      </w:divBdr>
    </w:div>
    <w:div w:id="1939290556">
      <w:bodyDiv w:val="1"/>
      <w:marLeft w:val="0"/>
      <w:marRight w:val="0"/>
      <w:marTop w:val="0"/>
      <w:marBottom w:val="0"/>
      <w:divBdr>
        <w:top w:val="none" w:sz="0" w:space="0" w:color="auto"/>
        <w:left w:val="none" w:sz="0" w:space="0" w:color="auto"/>
        <w:bottom w:val="none" w:sz="0" w:space="0" w:color="auto"/>
        <w:right w:val="none" w:sz="0" w:space="0" w:color="auto"/>
      </w:divBdr>
    </w:div>
    <w:div w:id="20578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2690"/>
    <w:rsid w:val="00026AA1"/>
    <w:rsid w:val="001B1EB5"/>
    <w:rsid w:val="00321C73"/>
    <w:rsid w:val="004826DF"/>
    <w:rsid w:val="004D0FAC"/>
    <w:rsid w:val="004F36E3"/>
    <w:rsid w:val="0050594F"/>
    <w:rsid w:val="005D2329"/>
    <w:rsid w:val="005D4BAF"/>
    <w:rsid w:val="00637A1E"/>
    <w:rsid w:val="00700BE5"/>
    <w:rsid w:val="00700FA0"/>
    <w:rsid w:val="00816609"/>
    <w:rsid w:val="00852095"/>
    <w:rsid w:val="008F69B5"/>
    <w:rsid w:val="00A33D13"/>
    <w:rsid w:val="00A469CC"/>
    <w:rsid w:val="00B40352"/>
    <w:rsid w:val="00C3444C"/>
    <w:rsid w:val="00C6358E"/>
    <w:rsid w:val="00C765E2"/>
    <w:rsid w:val="00EF3A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ea632d-76ac-411f-9d56-e25a8bed84d9">TOMMEL-23-6472</_dlc_DocId>
    <_dlc_DocIdUrl xmlns="3eea632d-76ac-411f-9d56-e25a8bed84d9">
      <Url>https://kabinettommelein.vo.proximuscloudsharepoint.be/PR/_layouts/15/DocIdRedir.aspx?ID=TOMMEL-23-6472</Url>
      <Description>TOMMEL-23-6472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8CF79526C13C429E655B0F479D2CB0" ma:contentTypeVersion="2" ma:contentTypeDescription="Een nieuw document maken." ma:contentTypeScope="" ma:versionID="d1a9fe2dc7b7d6e6543101bbe5ec1601">
  <xsd:schema xmlns:xsd="http://www.w3.org/2001/XMLSchema" xmlns:xs="http://www.w3.org/2001/XMLSchema" xmlns:p="http://schemas.microsoft.com/office/2006/metadata/properties" xmlns:ns2="3eea632d-76ac-411f-9d56-e25a8bed84d9" targetNamespace="http://schemas.microsoft.com/office/2006/metadata/properties" ma:root="true" ma:fieldsID="6b5545d4283321233eb1a03558c0a54c" ns2:_="">
    <xsd:import namespace="3eea632d-76ac-411f-9d56-e25a8bed84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a632d-76ac-411f-9d56-e25a8bed84d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A691-A065-4328-A34C-B547A4676E99}">
  <ds:schemaRefs>
    <ds:schemaRef ds:uri="http://schemas.microsoft.com/office/2006/metadata/properties"/>
    <ds:schemaRef ds:uri="http://schemas.microsoft.com/office/infopath/2007/PartnerControls"/>
    <ds:schemaRef ds:uri="3eea632d-76ac-411f-9d56-e25a8bed84d9"/>
  </ds:schemaRefs>
</ds:datastoreItem>
</file>

<file path=customXml/itemProps2.xml><?xml version="1.0" encoding="utf-8"?>
<ds:datastoreItem xmlns:ds="http://schemas.openxmlformats.org/officeDocument/2006/customXml" ds:itemID="{70FEDA9D-4E91-4B85-87E7-64A4D98655BE}">
  <ds:schemaRefs>
    <ds:schemaRef ds:uri="http://schemas.microsoft.com/sharepoint/v3/contenttype/forms"/>
  </ds:schemaRefs>
</ds:datastoreItem>
</file>

<file path=customXml/itemProps3.xml><?xml version="1.0" encoding="utf-8"?>
<ds:datastoreItem xmlns:ds="http://schemas.openxmlformats.org/officeDocument/2006/customXml" ds:itemID="{6DD3B0D4-94DB-49E7-8BCA-7DEB83854489}">
  <ds:schemaRefs>
    <ds:schemaRef ds:uri="http://schemas.microsoft.com/sharepoint/events"/>
  </ds:schemaRefs>
</ds:datastoreItem>
</file>

<file path=customXml/itemProps4.xml><?xml version="1.0" encoding="utf-8"?>
<ds:datastoreItem xmlns:ds="http://schemas.openxmlformats.org/officeDocument/2006/customXml" ds:itemID="{C6DF7B03-314E-43B3-A482-DCFE38D70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a632d-76ac-411f-9d56-e25a8be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4B56E-A572-4C85-A2A8-17B37D43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3</Pages>
  <Words>918</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Jackie Beuten</cp:lastModifiedBy>
  <cp:revision>2</cp:revision>
  <cp:lastPrinted>2017-02-22T10:53:00Z</cp:lastPrinted>
  <dcterms:created xsi:type="dcterms:W3CDTF">2017-03-09T19:41:00Z</dcterms:created>
  <dcterms:modified xsi:type="dcterms:W3CDTF">2017-03-09T19:41:00Z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f6138573-9b29-479d-b834-c395b52d5cb9</vt:lpwstr>
  </property>
  <property fmtid="{D5CDD505-2E9C-101B-9397-08002B2CF9AE}" pid="3" name="ContentTypeId">
    <vt:lpwstr>0x010100D18CF79526C13C429E655B0F479D2CB0</vt:lpwstr>
  </property>
</Properties>
</file>