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4256" w14:textId="77777777" w:rsidR="000976E9" w:rsidRPr="00AE4255" w:rsidRDefault="00F77288" w:rsidP="008963C3">
      <w:pPr>
        <w:pStyle w:val="A-NaamMinister"/>
        <w:jc w:val="both"/>
        <w:rPr>
          <w:rFonts w:ascii="Verdana" w:hAnsi="Verdana"/>
          <w:sz w:val="20"/>
          <w:szCs w:val="20"/>
        </w:rPr>
      </w:pPr>
      <w:bookmarkStart w:id="0" w:name="_GoBack"/>
      <w:bookmarkEnd w:id="0"/>
      <w:r>
        <w:rPr>
          <w:rFonts w:ascii="Verdana" w:hAnsi="Verdana"/>
          <w:sz w:val="20"/>
          <w:szCs w:val="20"/>
        </w:rPr>
        <w:t>g</w:t>
      </w:r>
      <w:r w:rsidR="00AE4255" w:rsidRPr="00AE4255">
        <w:rPr>
          <w:rFonts w:ascii="Verdana" w:hAnsi="Verdana"/>
          <w:sz w:val="20"/>
          <w:szCs w:val="20"/>
        </w:rPr>
        <w:t>eert bourgeois</w:t>
      </w:r>
    </w:p>
    <w:p w14:paraId="782993DD" w14:textId="77777777" w:rsidR="000976E9" w:rsidRPr="00AE4255" w:rsidRDefault="00AE4255" w:rsidP="008963C3">
      <w:pPr>
        <w:pStyle w:val="A-TitelMinister"/>
        <w:jc w:val="both"/>
        <w:rPr>
          <w:rFonts w:ascii="Verdana" w:hAnsi="Verdana"/>
          <w:sz w:val="20"/>
          <w:szCs w:val="20"/>
        </w:rPr>
      </w:pPr>
      <w:r w:rsidRPr="00AE4255">
        <w:rPr>
          <w:rFonts w:ascii="Verdana" w:hAnsi="Verdana"/>
          <w:sz w:val="20"/>
          <w:szCs w:val="20"/>
        </w:rPr>
        <w:t xml:space="preserve">minister-president van de </w:t>
      </w:r>
      <w:proofErr w:type="spellStart"/>
      <w:r w:rsidRPr="00AE4255">
        <w:rPr>
          <w:rFonts w:ascii="Verdana" w:hAnsi="Verdana"/>
          <w:sz w:val="20"/>
          <w:szCs w:val="20"/>
        </w:rPr>
        <w:t>vlaamse</w:t>
      </w:r>
      <w:proofErr w:type="spellEnd"/>
      <w:r w:rsidRPr="00AE4255">
        <w:rPr>
          <w:rFonts w:ascii="Verdana" w:hAnsi="Verdana"/>
          <w:sz w:val="20"/>
          <w:szCs w:val="20"/>
        </w:rPr>
        <w:t xml:space="preserve"> regering, </w:t>
      </w:r>
      <w:proofErr w:type="spellStart"/>
      <w:r w:rsidRPr="00AE4255">
        <w:rPr>
          <w:rFonts w:ascii="Verdana" w:hAnsi="Verdana"/>
          <w:sz w:val="20"/>
          <w:szCs w:val="20"/>
        </w:rPr>
        <w:t>vlaams</w:t>
      </w:r>
      <w:proofErr w:type="spellEnd"/>
      <w:r w:rsidRPr="00AE4255">
        <w:rPr>
          <w:rFonts w:ascii="Verdana" w:hAnsi="Verdana"/>
          <w:sz w:val="20"/>
          <w:szCs w:val="20"/>
        </w:rPr>
        <w:t xml:space="preserve"> minister van buitenlands beleid en onroerend erfgoed</w:t>
      </w:r>
    </w:p>
    <w:p w14:paraId="6E1A6F15" w14:textId="77777777" w:rsidR="000976E9" w:rsidRPr="00AE4255" w:rsidRDefault="000976E9" w:rsidP="008963C3">
      <w:pPr>
        <w:jc w:val="both"/>
        <w:rPr>
          <w:rFonts w:ascii="Verdana" w:hAnsi="Verdana"/>
          <w:sz w:val="20"/>
          <w:szCs w:val="20"/>
        </w:rPr>
      </w:pPr>
    </w:p>
    <w:p w14:paraId="072464C1" w14:textId="77777777" w:rsidR="000976E9" w:rsidRPr="00AE4255" w:rsidRDefault="000976E9" w:rsidP="008963C3">
      <w:pPr>
        <w:pStyle w:val="A-Lijn"/>
        <w:jc w:val="both"/>
        <w:rPr>
          <w:rFonts w:ascii="Verdana" w:hAnsi="Verdana"/>
          <w:sz w:val="20"/>
          <w:szCs w:val="20"/>
        </w:rPr>
      </w:pPr>
    </w:p>
    <w:p w14:paraId="1A39F7CA" w14:textId="77777777" w:rsidR="000976E9" w:rsidRPr="00AE4255" w:rsidRDefault="000976E9" w:rsidP="008963C3">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3CE3B249" w14:textId="77777777" w:rsidR="00210C07" w:rsidRPr="00AE4255" w:rsidRDefault="000976E9" w:rsidP="008963C3">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063B7350" w14:textId="492A36BC" w:rsidR="000976E9" w:rsidRPr="00301372" w:rsidRDefault="000976E9" w:rsidP="008963C3">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AC6CBE">
        <w:rPr>
          <w:rFonts w:ascii="Verdana" w:hAnsi="Verdana"/>
          <w:b w:val="0"/>
          <w:sz w:val="20"/>
          <w:szCs w:val="20"/>
        </w:rPr>
        <w:t>258</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AC6CBE">
        <w:rPr>
          <w:rFonts w:ascii="Verdana" w:hAnsi="Verdana"/>
          <w:b w:val="0"/>
          <w:sz w:val="20"/>
          <w:szCs w:val="20"/>
        </w:rPr>
        <w:t xml:space="preserve">13 </w:t>
      </w:r>
      <w:r w:rsidR="00F77288">
        <w:rPr>
          <w:rFonts w:ascii="Verdana" w:hAnsi="Verdana"/>
          <w:b w:val="0"/>
          <w:smallCaps w:val="0"/>
          <w:sz w:val="20"/>
          <w:szCs w:val="20"/>
        </w:rPr>
        <w:t>a</w:t>
      </w:r>
      <w:r w:rsidR="00AC6CBE">
        <w:rPr>
          <w:rFonts w:ascii="Verdana" w:hAnsi="Verdana"/>
          <w:b w:val="0"/>
          <w:smallCaps w:val="0"/>
          <w:sz w:val="20"/>
          <w:szCs w:val="20"/>
        </w:rPr>
        <w:t>pril</w:t>
      </w:r>
      <w:r w:rsidR="00F77288">
        <w:rPr>
          <w:rFonts w:ascii="Verdana" w:hAnsi="Verdana"/>
          <w:b w:val="0"/>
          <w:smallCaps w:val="0"/>
          <w:sz w:val="20"/>
          <w:szCs w:val="20"/>
        </w:rPr>
        <w:t xml:space="preserve"> 2017</w:t>
      </w:r>
    </w:p>
    <w:p w14:paraId="31C380E8" w14:textId="10692673" w:rsidR="000976E9" w:rsidRPr="00AE4255" w:rsidRDefault="000976E9" w:rsidP="008963C3">
      <w:pPr>
        <w:jc w:val="both"/>
        <w:rPr>
          <w:rFonts w:ascii="Verdana" w:hAnsi="Verdana"/>
          <w:sz w:val="20"/>
          <w:szCs w:val="20"/>
        </w:rPr>
      </w:pPr>
      <w:r w:rsidRPr="00AE4255">
        <w:rPr>
          <w:rFonts w:ascii="Verdana" w:hAnsi="Verdana"/>
          <w:sz w:val="20"/>
          <w:szCs w:val="20"/>
        </w:rPr>
        <w:t xml:space="preserve">van </w:t>
      </w:r>
      <w:proofErr w:type="spellStart"/>
      <w:r w:rsidR="008963C3">
        <w:rPr>
          <w:rStyle w:val="AntwoordNaamMinisterChar"/>
          <w:rFonts w:ascii="Verdana" w:hAnsi="Verdana"/>
          <w:sz w:val="20"/>
          <w:szCs w:val="20"/>
        </w:rPr>
        <w:t>l</w:t>
      </w:r>
      <w:r w:rsidR="00AC6CBE">
        <w:rPr>
          <w:rStyle w:val="AntwoordNaamMinisterChar"/>
          <w:rFonts w:ascii="Verdana" w:hAnsi="Verdana"/>
          <w:sz w:val="20"/>
          <w:szCs w:val="20"/>
        </w:rPr>
        <w:t>ydia</w:t>
      </w:r>
      <w:proofErr w:type="spellEnd"/>
      <w:r w:rsidR="00AC6CBE">
        <w:rPr>
          <w:rStyle w:val="AntwoordNaamMinisterChar"/>
          <w:rFonts w:ascii="Verdana" w:hAnsi="Verdana"/>
          <w:sz w:val="20"/>
          <w:szCs w:val="20"/>
        </w:rPr>
        <w:t xml:space="preserve"> </w:t>
      </w:r>
      <w:proofErr w:type="spellStart"/>
      <w:r w:rsidR="008963C3">
        <w:rPr>
          <w:rStyle w:val="AntwoordNaamMinisterChar"/>
          <w:rFonts w:ascii="Verdana" w:hAnsi="Verdana"/>
          <w:sz w:val="20"/>
          <w:szCs w:val="20"/>
        </w:rPr>
        <w:t>p</w:t>
      </w:r>
      <w:r w:rsidR="00AC6CBE">
        <w:rPr>
          <w:rStyle w:val="AntwoordNaamMinisterChar"/>
          <w:rFonts w:ascii="Verdana" w:hAnsi="Verdana"/>
          <w:sz w:val="20"/>
          <w:szCs w:val="20"/>
        </w:rPr>
        <w:t>eeters</w:t>
      </w:r>
      <w:proofErr w:type="spellEnd"/>
    </w:p>
    <w:p w14:paraId="34350AA4" w14:textId="77777777" w:rsidR="00326A58" w:rsidRPr="00AE4255" w:rsidRDefault="00326A58" w:rsidP="008963C3">
      <w:pPr>
        <w:jc w:val="both"/>
        <w:rPr>
          <w:rFonts w:ascii="Verdana" w:hAnsi="Verdana"/>
          <w:sz w:val="20"/>
          <w:szCs w:val="20"/>
        </w:rPr>
      </w:pPr>
    </w:p>
    <w:p w14:paraId="71E5FE8E" w14:textId="77777777" w:rsidR="000976E9" w:rsidRPr="00AE4255" w:rsidRDefault="000976E9" w:rsidP="008963C3">
      <w:pPr>
        <w:pStyle w:val="A-Lijn"/>
        <w:jc w:val="both"/>
        <w:rPr>
          <w:rFonts w:ascii="Verdana" w:hAnsi="Verdana"/>
          <w:sz w:val="20"/>
          <w:szCs w:val="20"/>
        </w:rPr>
      </w:pPr>
    </w:p>
    <w:p w14:paraId="1F638AA5" w14:textId="77777777" w:rsidR="000976E9" w:rsidRPr="00AE4255" w:rsidRDefault="000976E9" w:rsidP="008963C3">
      <w:pPr>
        <w:pStyle w:val="A-Lijn"/>
        <w:jc w:val="both"/>
        <w:rPr>
          <w:rFonts w:ascii="Verdana" w:hAnsi="Verdana"/>
          <w:sz w:val="20"/>
          <w:szCs w:val="20"/>
        </w:rPr>
      </w:pPr>
    </w:p>
    <w:p w14:paraId="48CA9590" w14:textId="77777777" w:rsidR="000976E9" w:rsidRPr="00AE4255" w:rsidRDefault="000976E9" w:rsidP="008963C3">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0542243D" w14:textId="27BCD01F" w:rsidR="00AC6CBE" w:rsidRPr="00AC6CBE" w:rsidRDefault="00AC6CBE" w:rsidP="008963C3">
      <w:pPr>
        <w:pStyle w:val="Nummering"/>
        <w:numPr>
          <w:ilvl w:val="0"/>
          <w:numId w:val="12"/>
        </w:numPr>
        <w:spacing w:after="0"/>
        <w:ind w:left="426" w:hanging="426"/>
        <w:rPr>
          <w:rFonts w:cs="Arial"/>
          <w:spacing w:val="3"/>
          <w:szCs w:val="20"/>
          <w:lang w:val="nl-BE"/>
        </w:rPr>
      </w:pPr>
      <w:r w:rsidRPr="00AC6CBE">
        <w:rPr>
          <w:rFonts w:eastAsia="Verdana"/>
          <w:szCs w:val="20"/>
          <w:lang w:val="nl-BE"/>
        </w:rPr>
        <w:t xml:space="preserve">Het ministerieel besluit van </w:t>
      </w:r>
      <w:r w:rsidRPr="00AC6CBE">
        <w:rPr>
          <w:szCs w:val="20"/>
          <w:lang w:val="nl-BE"/>
        </w:rPr>
        <w:t xml:space="preserve">16 december 2016 tot vaststelling van de gewijzigde Code van Goede Praktijk voor archeologisch onderzoek en metaaldetectie trad op </w:t>
      </w:r>
      <w:r w:rsidRPr="00AC6CBE">
        <w:rPr>
          <w:rFonts w:cs="Arial"/>
          <w:spacing w:val="3"/>
          <w:szCs w:val="20"/>
          <w:lang w:val="nl-BE"/>
        </w:rPr>
        <w:t>1 januari 2017 in werking.</w:t>
      </w:r>
    </w:p>
    <w:p w14:paraId="5574E019" w14:textId="11890ECE" w:rsidR="00AC6CBE" w:rsidRPr="00AC6CBE" w:rsidRDefault="00AC6CBE" w:rsidP="008963C3">
      <w:pPr>
        <w:pStyle w:val="Nummering"/>
        <w:numPr>
          <w:ilvl w:val="0"/>
          <w:numId w:val="0"/>
        </w:numPr>
        <w:spacing w:after="0"/>
        <w:ind w:left="426"/>
        <w:rPr>
          <w:szCs w:val="20"/>
          <w:lang w:val="nl-BE"/>
        </w:rPr>
      </w:pPr>
      <w:r w:rsidRPr="00AC6CBE">
        <w:rPr>
          <w:szCs w:val="20"/>
          <w:lang w:val="nl-BE"/>
        </w:rPr>
        <w:t>De belangrijkste doorgevoerde wijzigingen zijn drieledig:</w:t>
      </w:r>
    </w:p>
    <w:p w14:paraId="7FC5F1CD" w14:textId="2F7EE9E2" w:rsidR="00AC6CBE" w:rsidRPr="00AC6CBE" w:rsidRDefault="00AC6CBE" w:rsidP="008963C3">
      <w:pPr>
        <w:pStyle w:val="Nummering"/>
        <w:numPr>
          <w:ilvl w:val="0"/>
          <w:numId w:val="15"/>
        </w:numPr>
        <w:spacing w:after="0"/>
        <w:rPr>
          <w:szCs w:val="20"/>
          <w:lang w:val="nl-BE"/>
        </w:rPr>
      </w:pPr>
      <w:r>
        <w:rPr>
          <w:szCs w:val="20"/>
          <w:lang w:val="nl-BE"/>
        </w:rPr>
        <w:t>i</w:t>
      </w:r>
      <w:r w:rsidRPr="00AC6CBE">
        <w:rPr>
          <w:szCs w:val="20"/>
          <w:lang w:val="nl-BE"/>
        </w:rPr>
        <w:t>ntroductie van de ‘archeologienota met beperkte samenstelling’</w:t>
      </w:r>
    </w:p>
    <w:p w14:paraId="1D6BF495" w14:textId="3FEFB44B" w:rsidR="00AC6CBE" w:rsidRPr="00AC6CBE" w:rsidRDefault="00AC6CBE" w:rsidP="008963C3">
      <w:pPr>
        <w:pStyle w:val="Nummering"/>
        <w:numPr>
          <w:ilvl w:val="0"/>
          <w:numId w:val="15"/>
        </w:numPr>
        <w:spacing w:after="0"/>
        <w:rPr>
          <w:szCs w:val="20"/>
          <w:lang w:val="nl-BE"/>
        </w:rPr>
      </w:pPr>
      <w:r w:rsidRPr="00AC6CBE">
        <w:rPr>
          <w:szCs w:val="20"/>
          <w:lang w:val="nl-BE"/>
        </w:rPr>
        <w:t>diverse inhoudelijke en vormelijke aanpassingen aan de archeologienota</w:t>
      </w:r>
    </w:p>
    <w:p w14:paraId="0092937D" w14:textId="69E48832" w:rsidR="00AC6CBE" w:rsidRPr="00AC6CBE" w:rsidRDefault="00AC6CBE" w:rsidP="008963C3">
      <w:pPr>
        <w:pStyle w:val="Nummering"/>
        <w:numPr>
          <w:ilvl w:val="0"/>
          <w:numId w:val="15"/>
        </w:numPr>
        <w:spacing w:after="0"/>
        <w:rPr>
          <w:szCs w:val="20"/>
          <w:lang w:val="nl-BE"/>
        </w:rPr>
      </w:pPr>
      <w:r w:rsidRPr="00AC6CBE">
        <w:rPr>
          <w:szCs w:val="20"/>
          <w:lang w:val="nl-BE"/>
        </w:rPr>
        <w:t>herziening van de bepalingen inzake aardkunde en beperking van de inzet van de aardkundige</w:t>
      </w:r>
    </w:p>
    <w:p w14:paraId="1230D570" w14:textId="77777777" w:rsidR="00AC6CBE" w:rsidRPr="00AC6CBE" w:rsidRDefault="00AC6CBE" w:rsidP="008963C3">
      <w:pPr>
        <w:pStyle w:val="Lijstalinea"/>
        <w:ind w:left="426"/>
        <w:jc w:val="both"/>
        <w:rPr>
          <w:rFonts w:ascii="Verdana" w:hAnsi="Verdana"/>
          <w:sz w:val="20"/>
          <w:szCs w:val="20"/>
        </w:rPr>
      </w:pPr>
    </w:p>
    <w:p w14:paraId="231489B0" w14:textId="5593EBC1" w:rsidR="00AC6CBE" w:rsidRPr="00AC6CBE" w:rsidRDefault="00AC6CBE" w:rsidP="008963C3">
      <w:pPr>
        <w:ind w:left="426"/>
        <w:jc w:val="both"/>
        <w:rPr>
          <w:rFonts w:ascii="Verdana" w:hAnsi="Verdana"/>
          <w:sz w:val="20"/>
          <w:szCs w:val="20"/>
        </w:rPr>
      </w:pPr>
      <w:r w:rsidRPr="00AC6CBE">
        <w:rPr>
          <w:rFonts w:ascii="Verdana" w:hAnsi="Verdana"/>
          <w:sz w:val="20"/>
          <w:szCs w:val="20"/>
        </w:rPr>
        <w:t>Tussen 01/01/2017 en 15/04/2017 werden er</w:t>
      </w:r>
      <w:r w:rsidR="005B6C26">
        <w:rPr>
          <w:rFonts w:ascii="Verdana" w:hAnsi="Verdana"/>
          <w:sz w:val="20"/>
          <w:szCs w:val="20"/>
        </w:rPr>
        <w:t xml:space="preserve"> 117</w:t>
      </w:r>
      <w:r w:rsidRPr="00AC6CBE">
        <w:rPr>
          <w:rFonts w:ascii="Verdana" w:hAnsi="Verdana"/>
          <w:sz w:val="20"/>
          <w:szCs w:val="20"/>
        </w:rPr>
        <w:t xml:space="preserve"> archeologienota’s met beperkte samenstelling </w:t>
      </w:r>
      <w:r w:rsidR="005B6C26">
        <w:rPr>
          <w:rFonts w:ascii="Verdana" w:hAnsi="Verdana"/>
          <w:sz w:val="20"/>
          <w:szCs w:val="20"/>
        </w:rPr>
        <w:t xml:space="preserve">ingediend waarvan er 90 </w:t>
      </w:r>
      <w:r w:rsidRPr="00AC6CBE">
        <w:rPr>
          <w:rFonts w:ascii="Verdana" w:hAnsi="Verdana"/>
          <w:sz w:val="20"/>
          <w:szCs w:val="20"/>
        </w:rPr>
        <w:t>bekrachtigd</w:t>
      </w:r>
      <w:r w:rsidR="005B6C26">
        <w:rPr>
          <w:rFonts w:ascii="Verdana" w:hAnsi="Verdana"/>
          <w:sz w:val="20"/>
          <w:szCs w:val="20"/>
        </w:rPr>
        <w:t xml:space="preserve"> werden</w:t>
      </w:r>
      <w:r w:rsidRPr="00AC6CBE">
        <w:rPr>
          <w:rFonts w:ascii="Verdana" w:hAnsi="Verdana"/>
          <w:sz w:val="20"/>
          <w:szCs w:val="20"/>
        </w:rPr>
        <w:t>.</w:t>
      </w:r>
    </w:p>
    <w:p w14:paraId="65F2DAF5" w14:textId="77777777" w:rsidR="00AC6CBE" w:rsidRPr="00AC6CBE" w:rsidRDefault="00AC6CBE" w:rsidP="008963C3">
      <w:pPr>
        <w:pStyle w:val="Nummering"/>
        <w:numPr>
          <w:ilvl w:val="0"/>
          <w:numId w:val="0"/>
        </w:numPr>
        <w:spacing w:after="0"/>
        <w:ind w:left="426" w:hanging="425"/>
        <w:rPr>
          <w:rStyle w:val="apple-converted-space"/>
          <w:szCs w:val="20"/>
          <w:lang w:val="nl-NL"/>
        </w:rPr>
      </w:pPr>
    </w:p>
    <w:p w14:paraId="547EEC90" w14:textId="7E53F449" w:rsidR="00AC6CBE" w:rsidRPr="00AC6CBE" w:rsidRDefault="00AC6CBE" w:rsidP="008963C3">
      <w:pPr>
        <w:pStyle w:val="Nummering"/>
        <w:numPr>
          <w:ilvl w:val="0"/>
          <w:numId w:val="12"/>
        </w:numPr>
        <w:spacing w:after="0"/>
        <w:ind w:left="426" w:hanging="426"/>
        <w:rPr>
          <w:rFonts w:cs="Arial"/>
          <w:spacing w:val="3"/>
          <w:szCs w:val="20"/>
          <w:lang w:val="nl-BE"/>
        </w:rPr>
      </w:pPr>
      <w:r w:rsidRPr="00AC6CBE">
        <w:rPr>
          <w:szCs w:val="20"/>
          <w:lang w:val="nl-BE"/>
        </w:rPr>
        <w:t>H</w:t>
      </w:r>
      <w:r w:rsidRPr="00AC6CBE">
        <w:rPr>
          <w:rFonts w:cs="Arial"/>
          <w:spacing w:val="3"/>
          <w:szCs w:val="20"/>
          <w:lang w:val="nl-BE"/>
        </w:rPr>
        <w:t xml:space="preserve">et besluit van de Vlaamse Regering van 16 december 2016 houdende wijziging van het </w:t>
      </w:r>
      <w:proofErr w:type="spellStart"/>
      <w:r w:rsidRPr="00AC6CBE">
        <w:rPr>
          <w:rFonts w:cs="Arial"/>
          <w:spacing w:val="3"/>
          <w:szCs w:val="20"/>
          <w:lang w:val="nl-BE"/>
        </w:rPr>
        <w:t>Onroerenderfgoedbesluit</w:t>
      </w:r>
      <w:proofErr w:type="spellEnd"/>
      <w:r w:rsidRPr="00AC6CBE">
        <w:rPr>
          <w:rFonts w:cs="Arial"/>
          <w:spacing w:val="3"/>
          <w:szCs w:val="20"/>
          <w:lang w:val="nl-BE"/>
        </w:rPr>
        <w:t xml:space="preserve"> van 16 mei 2014 en van diverse besluiten van de Vlaamse Regering met het oog op het uitvoeren van het kerntakenplan van het agentschap Onroerend Erfgoed en andere financiële en technische aanpassingen trad in werking op 1 januari 2017. Dit wijzigingsbesluit regelt de tweemaandelijkse vaststelling van de kaart met gebieden waar geen archeologisch erfgoed te verwachten valt door de leidend ambtenaar van het agentschap Onroerend Erfgoed. Over de vaststelling wordt zesmaandelijks gerapporteerd aan de Vlaamse Regering.</w:t>
      </w:r>
    </w:p>
    <w:p w14:paraId="35BD09F5" w14:textId="6DDBC4A6" w:rsidR="00AC6CBE" w:rsidRPr="00AC6CBE" w:rsidRDefault="00AC6CBE" w:rsidP="008963C3">
      <w:pPr>
        <w:ind w:left="426"/>
        <w:jc w:val="both"/>
        <w:rPr>
          <w:rFonts w:ascii="Verdana" w:hAnsi="Verdana"/>
          <w:sz w:val="20"/>
          <w:szCs w:val="20"/>
          <w:lang w:val="nl-BE" w:eastAsia="en-US"/>
        </w:rPr>
      </w:pPr>
      <w:r w:rsidRPr="00AC6CBE">
        <w:rPr>
          <w:rFonts w:ascii="Verdana" w:hAnsi="Verdana"/>
          <w:sz w:val="20"/>
          <w:szCs w:val="20"/>
        </w:rPr>
        <w:t xml:space="preserve">De frequentie van het vaststellen van de GGA kaart werd in 2017 bijgevolg verhoogd. De </w:t>
      </w:r>
      <w:r w:rsidR="005B6C26">
        <w:rPr>
          <w:rFonts w:ascii="Verdana" w:hAnsi="Verdana"/>
          <w:sz w:val="20"/>
          <w:szCs w:val="20"/>
        </w:rPr>
        <w:t>4de</w:t>
      </w:r>
      <w:r w:rsidRPr="00AC6CBE">
        <w:rPr>
          <w:rFonts w:ascii="Verdana" w:hAnsi="Verdana"/>
          <w:sz w:val="20"/>
          <w:szCs w:val="20"/>
        </w:rPr>
        <w:t xml:space="preserve"> versie van de kaart werd vastgesteld op 21 februari, de </w:t>
      </w:r>
      <w:r w:rsidR="005B6C26">
        <w:rPr>
          <w:rFonts w:ascii="Verdana" w:hAnsi="Verdana"/>
          <w:sz w:val="20"/>
          <w:szCs w:val="20"/>
        </w:rPr>
        <w:t>5de</w:t>
      </w:r>
      <w:r w:rsidRPr="00AC6CBE">
        <w:rPr>
          <w:rFonts w:ascii="Verdana" w:hAnsi="Verdana"/>
          <w:sz w:val="20"/>
          <w:szCs w:val="20"/>
        </w:rPr>
        <w:t xml:space="preserve"> versie van de kaart zal ter beschikking </w:t>
      </w:r>
      <w:r w:rsidR="005B6C26">
        <w:rPr>
          <w:rFonts w:ascii="Verdana" w:hAnsi="Verdana"/>
          <w:sz w:val="20"/>
          <w:szCs w:val="20"/>
        </w:rPr>
        <w:t>zijn</w:t>
      </w:r>
      <w:r w:rsidRPr="00AC6CBE">
        <w:rPr>
          <w:rFonts w:ascii="Verdana" w:hAnsi="Verdana"/>
          <w:sz w:val="20"/>
          <w:szCs w:val="20"/>
        </w:rPr>
        <w:t xml:space="preserve"> op 16 mei 2017. Hierbij worden in eerste instantie bouw- en verkavelingsdossiers die reeds archeologisch werden onderzocht in het kader van het Archeologiedecreet systematisch geregulariseerd. Bij de 5</w:t>
      </w:r>
      <w:r w:rsidR="005B6C26">
        <w:rPr>
          <w:rFonts w:ascii="Verdana" w:hAnsi="Verdana"/>
          <w:sz w:val="20"/>
          <w:szCs w:val="20"/>
        </w:rPr>
        <w:t>de</w:t>
      </w:r>
      <w:r w:rsidRPr="00AC6CBE">
        <w:rPr>
          <w:rFonts w:ascii="Verdana" w:hAnsi="Verdana"/>
          <w:sz w:val="20"/>
          <w:szCs w:val="20"/>
        </w:rPr>
        <w:t xml:space="preserve"> versie van de kaart zullen de provincies Oost- en West-Vlaanderen reeds op deze manier gescreend zijn. De overige provincies volgen in de volgende maanden.</w:t>
      </w:r>
    </w:p>
    <w:p w14:paraId="3033CFDA" w14:textId="77777777" w:rsidR="00AC6CBE" w:rsidRPr="009F0962" w:rsidRDefault="00AC6CBE" w:rsidP="008963C3">
      <w:pPr>
        <w:pStyle w:val="Nummering"/>
        <w:numPr>
          <w:ilvl w:val="0"/>
          <w:numId w:val="0"/>
        </w:numPr>
        <w:spacing w:after="0"/>
        <w:ind w:left="425"/>
        <w:rPr>
          <w:rStyle w:val="apple-converted-space"/>
          <w:lang w:val="nl-BE"/>
        </w:rPr>
      </w:pPr>
    </w:p>
    <w:p w14:paraId="1F70189A" w14:textId="2A90A56F" w:rsidR="00AC6CBE" w:rsidRDefault="00AC6CBE" w:rsidP="008963C3">
      <w:pPr>
        <w:pStyle w:val="Nummering"/>
        <w:numPr>
          <w:ilvl w:val="0"/>
          <w:numId w:val="12"/>
        </w:numPr>
        <w:spacing w:after="0"/>
        <w:ind w:left="426"/>
        <w:rPr>
          <w:rFonts w:eastAsia="Verdana"/>
          <w:lang w:val="nl-BE"/>
        </w:rPr>
      </w:pPr>
      <w:r w:rsidRPr="00A6725E">
        <w:rPr>
          <w:rFonts w:eastAsia="Verdana"/>
          <w:lang w:val="nl-BE"/>
        </w:rPr>
        <w:t>Het aantal bekrachtigde archeologienota’s voor de periode 1/1/2017-15/04/2017:</w:t>
      </w:r>
    </w:p>
    <w:p w14:paraId="4BAC6610" w14:textId="77777777" w:rsidR="008963C3" w:rsidRPr="00A6725E" w:rsidRDefault="008963C3" w:rsidP="008963C3">
      <w:pPr>
        <w:pStyle w:val="Nummering"/>
        <w:numPr>
          <w:ilvl w:val="0"/>
          <w:numId w:val="0"/>
        </w:numPr>
        <w:spacing w:after="0"/>
        <w:ind w:left="426"/>
        <w:rPr>
          <w:rFonts w:eastAsia="Verdana"/>
          <w:lang w:val="nl-BE"/>
        </w:rPr>
      </w:pPr>
    </w:p>
    <w:tbl>
      <w:tblPr>
        <w:tblStyle w:val="Tabelraster"/>
        <w:tblW w:w="0" w:type="auto"/>
        <w:tblInd w:w="425" w:type="dxa"/>
        <w:tblLook w:val="04A0" w:firstRow="1" w:lastRow="0" w:firstColumn="1" w:lastColumn="0" w:noHBand="0" w:noVBand="1"/>
      </w:tblPr>
      <w:tblGrid>
        <w:gridCol w:w="2122"/>
        <w:gridCol w:w="1417"/>
      </w:tblGrid>
      <w:tr w:rsidR="00A6725E" w:rsidRPr="00A6725E" w14:paraId="415E5DFC" w14:textId="77777777" w:rsidTr="004174C8">
        <w:tc>
          <w:tcPr>
            <w:tcW w:w="2122" w:type="dxa"/>
          </w:tcPr>
          <w:p w14:paraId="2A6C7E86"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Antwerpen</w:t>
            </w:r>
          </w:p>
        </w:tc>
        <w:tc>
          <w:tcPr>
            <w:tcW w:w="1417" w:type="dxa"/>
          </w:tcPr>
          <w:p w14:paraId="1F3EA576"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245</w:t>
            </w:r>
          </w:p>
        </w:tc>
      </w:tr>
      <w:tr w:rsidR="00A6725E" w:rsidRPr="00A6725E" w14:paraId="73FE191C" w14:textId="77777777" w:rsidTr="004174C8">
        <w:tc>
          <w:tcPr>
            <w:tcW w:w="2122" w:type="dxa"/>
          </w:tcPr>
          <w:p w14:paraId="5C485646"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Limburg</w:t>
            </w:r>
          </w:p>
        </w:tc>
        <w:tc>
          <w:tcPr>
            <w:tcW w:w="1417" w:type="dxa"/>
          </w:tcPr>
          <w:p w14:paraId="5E22B171"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158</w:t>
            </w:r>
          </w:p>
        </w:tc>
      </w:tr>
      <w:tr w:rsidR="00A6725E" w:rsidRPr="00A6725E" w14:paraId="63FE21B7" w14:textId="77777777" w:rsidTr="004174C8">
        <w:tc>
          <w:tcPr>
            <w:tcW w:w="2122" w:type="dxa"/>
          </w:tcPr>
          <w:p w14:paraId="761637F0"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Oost-Vlaanderen</w:t>
            </w:r>
          </w:p>
        </w:tc>
        <w:tc>
          <w:tcPr>
            <w:tcW w:w="1417" w:type="dxa"/>
          </w:tcPr>
          <w:p w14:paraId="4D6CDA43"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260</w:t>
            </w:r>
          </w:p>
        </w:tc>
      </w:tr>
      <w:tr w:rsidR="00A6725E" w:rsidRPr="00A6725E" w14:paraId="3749D9BA" w14:textId="77777777" w:rsidTr="004174C8">
        <w:tc>
          <w:tcPr>
            <w:tcW w:w="2122" w:type="dxa"/>
          </w:tcPr>
          <w:p w14:paraId="27606078"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Vlaams-Brabant</w:t>
            </w:r>
          </w:p>
        </w:tc>
        <w:tc>
          <w:tcPr>
            <w:tcW w:w="1417" w:type="dxa"/>
          </w:tcPr>
          <w:p w14:paraId="3761A027"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136</w:t>
            </w:r>
          </w:p>
        </w:tc>
      </w:tr>
      <w:tr w:rsidR="00A6725E" w:rsidRPr="00A6725E" w14:paraId="1A0A2A87" w14:textId="77777777" w:rsidTr="004174C8">
        <w:tc>
          <w:tcPr>
            <w:tcW w:w="2122" w:type="dxa"/>
          </w:tcPr>
          <w:p w14:paraId="27327B14"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West-Vlaanderen</w:t>
            </w:r>
          </w:p>
        </w:tc>
        <w:tc>
          <w:tcPr>
            <w:tcW w:w="1417" w:type="dxa"/>
          </w:tcPr>
          <w:p w14:paraId="56A8852E"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196</w:t>
            </w:r>
          </w:p>
        </w:tc>
      </w:tr>
      <w:tr w:rsidR="00A6725E" w:rsidRPr="00A6725E" w14:paraId="450D7A5A" w14:textId="77777777" w:rsidTr="004174C8">
        <w:tc>
          <w:tcPr>
            <w:tcW w:w="2122" w:type="dxa"/>
          </w:tcPr>
          <w:p w14:paraId="130E3757"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TOTAAL</w:t>
            </w:r>
          </w:p>
        </w:tc>
        <w:tc>
          <w:tcPr>
            <w:tcW w:w="1417" w:type="dxa"/>
          </w:tcPr>
          <w:p w14:paraId="236DC439"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995</w:t>
            </w:r>
          </w:p>
        </w:tc>
      </w:tr>
    </w:tbl>
    <w:p w14:paraId="311B98A7" w14:textId="77777777" w:rsidR="00AC6CBE" w:rsidRDefault="00AC6CBE" w:rsidP="008963C3">
      <w:pPr>
        <w:pStyle w:val="Nummering"/>
        <w:numPr>
          <w:ilvl w:val="0"/>
          <w:numId w:val="0"/>
        </w:numPr>
        <w:spacing w:after="0"/>
        <w:ind w:left="425"/>
        <w:rPr>
          <w:rFonts w:eastAsia="Verdana"/>
          <w:color w:val="FF0000"/>
          <w:lang w:val="nl-BE"/>
        </w:rPr>
      </w:pPr>
    </w:p>
    <w:p w14:paraId="011B234B" w14:textId="7D19E307" w:rsidR="00AC6CBE" w:rsidRDefault="00AC6CBE" w:rsidP="008963C3">
      <w:pPr>
        <w:pStyle w:val="Nummering"/>
        <w:numPr>
          <w:ilvl w:val="0"/>
          <w:numId w:val="12"/>
        </w:numPr>
        <w:spacing w:after="0"/>
        <w:ind w:left="426"/>
        <w:rPr>
          <w:rFonts w:eastAsia="Verdana"/>
          <w:lang w:val="nl-BE"/>
        </w:rPr>
      </w:pPr>
      <w:r w:rsidRPr="00A6725E">
        <w:rPr>
          <w:rFonts w:eastAsia="Verdana"/>
          <w:lang w:val="nl-BE"/>
        </w:rPr>
        <w:t>Het aantal geweigerde archeologienota’s voor de periode 1/1/2017-15/04/2017:</w:t>
      </w:r>
    </w:p>
    <w:p w14:paraId="2FD45A64" w14:textId="77777777" w:rsidR="008963C3" w:rsidRPr="00A6725E" w:rsidRDefault="008963C3" w:rsidP="008963C3">
      <w:pPr>
        <w:pStyle w:val="Nummering"/>
        <w:numPr>
          <w:ilvl w:val="0"/>
          <w:numId w:val="0"/>
        </w:numPr>
        <w:spacing w:after="0"/>
        <w:ind w:left="426"/>
        <w:rPr>
          <w:rFonts w:eastAsia="Verdana"/>
          <w:lang w:val="nl-BE"/>
        </w:rPr>
      </w:pPr>
    </w:p>
    <w:tbl>
      <w:tblPr>
        <w:tblStyle w:val="Tabelraster"/>
        <w:tblW w:w="0" w:type="auto"/>
        <w:tblInd w:w="425" w:type="dxa"/>
        <w:tblLook w:val="04A0" w:firstRow="1" w:lastRow="0" w:firstColumn="1" w:lastColumn="0" w:noHBand="0" w:noVBand="1"/>
      </w:tblPr>
      <w:tblGrid>
        <w:gridCol w:w="2122"/>
        <w:gridCol w:w="1417"/>
      </w:tblGrid>
      <w:tr w:rsidR="00A6725E" w:rsidRPr="00A6725E" w14:paraId="3E73B862" w14:textId="77777777" w:rsidTr="004174C8">
        <w:tc>
          <w:tcPr>
            <w:tcW w:w="2122" w:type="dxa"/>
          </w:tcPr>
          <w:p w14:paraId="0925AB52"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Antwerpen</w:t>
            </w:r>
          </w:p>
        </w:tc>
        <w:tc>
          <w:tcPr>
            <w:tcW w:w="1417" w:type="dxa"/>
            <w:vAlign w:val="bottom"/>
          </w:tcPr>
          <w:p w14:paraId="052A2FAD"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73</w:t>
            </w:r>
          </w:p>
        </w:tc>
      </w:tr>
      <w:tr w:rsidR="00A6725E" w:rsidRPr="00A6725E" w14:paraId="428F49F9" w14:textId="77777777" w:rsidTr="004174C8">
        <w:tc>
          <w:tcPr>
            <w:tcW w:w="2122" w:type="dxa"/>
          </w:tcPr>
          <w:p w14:paraId="78755017"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Limburg</w:t>
            </w:r>
          </w:p>
        </w:tc>
        <w:tc>
          <w:tcPr>
            <w:tcW w:w="1417" w:type="dxa"/>
            <w:vAlign w:val="bottom"/>
          </w:tcPr>
          <w:p w14:paraId="478E8BA0"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61</w:t>
            </w:r>
          </w:p>
        </w:tc>
      </w:tr>
      <w:tr w:rsidR="00A6725E" w:rsidRPr="00A6725E" w14:paraId="059A3A19" w14:textId="77777777" w:rsidTr="004174C8">
        <w:tc>
          <w:tcPr>
            <w:tcW w:w="2122" w:type="dxa"/>
          </w:tcPr>
          <w:p w14:paraId="0E15AEED"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Oost-Vlaanderen</w:t>
            </w:r>
          </w:p>
        </w:tc>
        <w:tc>
          <w:tcPr>
            <w:tcW w:w="1417" w:type="dxa"/>
            <w:vAlign w:val="bottom"/>
          </w:tcPr>
          <w:p w14:paraId="70E468ED"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61</w:t>
            </w:r>
          </w:p>
        </w:tc>
      </w:tr>
      <w:tr w:rsidR="00A6725E" w:rsidRPr="00A6725E" w14:paraId="5BD3BFD5" w14:textId="77777777" w:rsidTr="004174C8">
        <w:tc>
          <w:tcPr>
            <w:tcW w:w="2122" w:type="dxa"/>
          </w:tcPr>
          <w:p w14:paraId="08B37713"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Vlaams-Brabant</w:t>
            </w:r>
          </w:p>
        </w:tc>
        <w:tc>
          <w:tcPr>
            <w:tcW w:w="1417" w:type="dxa"/>
            <w:vAlign w:val="bottom"/>
          </w:tcPr>
          <w:p w14:paraId="67EBCAE6"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42</w:t>
            </w:r>
          </w:p>
        </w:tc>
      </w:tr>
      <w:tr w:rsidR="00A6725E" w:rsidRPr="00A6725E" w14:paraId="4131A63B" w14:textId="77777777" w:rsidTr="004174C8">
        <w:tc>
          <w:tcPr>
            <w:tcW w:w="2122" w:type="dxa"/>
          </w:tcPr>
          <w:p w14:paraId="657325E5"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t>West-Vlaanderen</w:t>
            </w:r>
          </w:p>
        </w:tc>
        <w:tc>
          <w:tcPr>
            <w:tcW w:w="1417" w:type="dxa"/>
            <w:vAlign w:val="bottom"/>
          </w:tcPr>
          <w:p w14:paraId="0D81A207"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47</w:t>
            </w:r>
          </w:p>
        </w:tc>
      </w:tr>
      <w:tr w:rsidR="00A6725E" w:rsidRPr="00A6725E" w14:paraId="242F36C0" w14:textId="77777777" w:rsidTr="004174C8">
        <w:tc>
          <w:tcPr>
            <w:tcW w:w="2122" w:type="dxa"/>
          </w:tcPr>
          <w:p w14:paraId="28C30E69" w14:textId="77777777" w:rsidR="00AC6CBE" w:rsidRPr="00A6725E" w:rsidRDefault="00AC6CBE" w:rsidP="008963C3">
            <w:pPr>
              <w:pStyle w:val="Nummering"/>
              <w:numPr>
                <w:ilvl w:val="0"/>
                <w:numId w:val="0"/>
              </w:numPr>
              <w:spacing w:after="0"/>
              <w:rPr>
                <w:rFonts w:eastAsia="Verdana"/>
                <w:lang w:val="nl-BE"/>
              </w:rPr>
            </w:pPr>
            <w:r w:rsidRPr="00A6725E">
              <w:rPr>
                <w:rFonts w:eastAsia="Verdana"/>
                <w:lang w:val="nl-BE"/>
              </w:rPr>
              <w:lastRenderedPageBreak/>
              <w:t>TOTAAL</w:t>
            </w:r>
          </w:p>
        </w:tc>
        <w:tc>
          <w:tcPr>
            <w:tcW w:w="1417" w:type="dxa"/>
            <w:vAlign w:val="bottom"/>
          </w:tcPr>
          <w:p w14:paraId="5E0C97FA" w14:textId="77777777" w:rsidR="00AC6CBE" w:rsidRPr="00A6725E" w:rsidRDefault="00AC6CBE" w:rsidP="008963C3">
            <w:pPr>
              <w:pStyle w:val="Nummering"/>
              <w:numPr>
                <w:ilvl w:val="0"/>
                <w:numId w:val="0"/>
              </w:numPr>
              <w:spacing w:after="0"/>
              <w:rPr>
                <w:rFonts w:eastAsia="Verdana"/>
                <w:szCs w:val="20"/>
                <w:lang w:val="nl-BE"/>
              </w:rPr>
            </w:pPr>
            <w:r w:rsidRPr="00A6725E">
              <w:rPr>
                <w:szCs w:val="20"/>
                <w:lang w:eastAsia="nl-BE"/>
              </w:rPr>
              <w:t>284</w:t>
            </w:r>
          </w:p>
        </w:tc>
      </w:tr>
    </w:tbl>
    <w:p w14:paraId="425430ED" w14:textId="77777777" w:rsidR="00AC6CBE" w:rsidRPr="009F0962" w:rsidRDefault="00AC6CBE" w:rsidP="008963C3">
      <w:pPr>
        <w:pStyle w:val="Nummering"/>
        <w:numPr>
          <w:ilvl w:val="0"/>
          <w:numId w:val="0"/>
        </w:numPr>
        <w:spacing w:after="0"/>
        <w:ind w:left="425"/>
        <w:rPr>
          <w:lang w:val="nl-BE"/>
        </w:rPr>
      </w:pPr>
    </w:p>
    <w:p w14:paraId="359E7BE9" w14:textId="69AD260E" w:rsidR="00AC6CBE" w:rsidRPr="00A6725E" w:rsidRDefault="00AC6CBE" w:rsidP="008963C3">
      <w:pPr>
        <w:pStyle w:val="Nummering"/>
        <w:numPr>
          <w:ilvl w:val="0"/>
          <w:numId w:val="12"/>
        </w:numPr>
        <w:spacing w:after="0"/>
        <w:ind w:left="426"/>
        <w:rPr>
          <w:rFonts w:cs="Arial"/>
          <w:lang w:val="nl-BE" w:eastAsia="nl-BE"/>
        </w:rPr>
      </w:pPr>
      <w:r w:rsidRPr="00A6725E">
        <w:rPr>
          <w:rFonts w:cs="Arial"/>
          <w:lang w:val="nl-BE" w:eastAsia="nl-BE"/>
        </w:rPr>
        <w:t xml:space="preserve">Tijdens </w:t>
      </w:r>
      <w:r w:rsidR="00A6725E" w:rsidRPr="00A6725E">
        <w:rPr>
          <w:rFonts w:cs="Arial"/>
          <w:lang w:val="nl-BE" w:eastAsia="nl-BE"/>
        </w:rPr>
        <w:t xml:space="preserve">een </w:t>
      </w:r>
      <w:r w:rsidRPr="00A6725E">
        <w:rPr>
          <w:rFonts w:cs="Arial"/>
          <w:lang w:val="nl-BE" w:eastAsia="nl-BE"/>
        </w:rPr>
        <w:t xml:space="preserve">overleg </w:t>
      </w:r>
      <w:r w:rsidR="00A6725E" w:rsidRPr="00A6725E">
        <w:rPr>
          <w:rFonts w:cs="Arial"/>
          <w:lang w:val="nl-BE" w:eastAsia="nl-BE"/>
        </w:rPr>
        <w:t xml:space="preserve">met </w:t>
      </w:r>
      <w:r w:rsidR="00AE110E">
        <w:rPr>
          <w:rFonts w:cs="Arial"/>
          <w:lang w:val="nl-BE" w:eastAsia="nl-BE"/>
        </w:rPr>
        <w:t xml:space="preserve">het </w:t>
      </w:r>
      <w:r w:rsidR="00A6725E" w:rsidRPr="00A6725E">
        <w:rPr>
          <w:rFonts w:cs="Arial"/>
          <w:lang w:val="nl-BE" w:eastAsia="nl-BE"/>
        </w:rPr>
        <w:t>N</w:t>
      </w:r>
      <w:r w:rsidR="00AE110E">
        <w:rPr>
          <w:rFonts w:cs="Arial"/>
          <w:lang w:val="nl-BE" w:eastAsia="nl-BE"/>
        </w:rPr>
        <w:t xml:space="preserve">etwerk </w:t>
      </w:r>
      <w:r w:rsidR="00A6725E" w:rsidRPr="00A6725E">
        <w:rPr>
          <w:rFonts w:cs="Arial"/>
          <w:lang w:val="nl-BE" w:eastAsia="nl-BE"/>
        </w:rPr>
        <w:t>A</w:t>
      </w:r>
      <w:r w:rsidR="00AE110E">
        <w:rPr>
          <w:rFonts w:cs="Arial"/>
          <w:lang w:val="nl-BE" w:eastAsia="nl-BE"/>
        </w:rPr>
        <w:t xml:space="preserve">rchitecten </w:t>
      </w:r>
      <w:r w:rsidR="00A6725E" w:rsidRPr="00A6725E">
        <w:rPr>
          <w:rFonts w:cs="Arial"/>
          <w:lang w:val="nl-BE" w:eastAsia="nl-BE"/>
        </w:rPr>
        <w:t>V</w:t>
      </w:r>
      <w:r w:rsidR="00AE110E">
        <w:rPr>
          <w:rFonts w:cs="Arial"/>
          <w:lang w:val="nl-BE" w:eastAsia="nl-BE"/>
        </w:rPr>
        <w:t>laanderen</w:t>
      </w:r>
      <w:r w:rsidR="00A6725E" w:rsidRPr="00A6725E">
        <w:rPr>
          <w:rFonts w:cs="Arial"/>
          <w:lang w:val="nl-BE" w:eastAsia="nl-BE"/>
        </w:rPr>
        <w:t xml:space="preserve"> </w:t>
      </w:r>
      <w:r w:rsidR="00AE110E">
        <w:rPr>
          <w:rFonts w:cs="Arial"/>
          <w:lang w:val="nl-BE" w:eastAsia="nl-BE"/>
        </w:rPr>
        <w:t xml:space="preserve">(NAV) </w:t>
      </w:r>
      <w:r w:rsidR="00A6725E" w:rsidRPr="00A6725E">
        <w:rPr>
          <w:rFonts w:cs="Arial"/>
          <w:lang w:val="nl-BE" w:eastAsia="nl-BE"/>
        </w:rPr>
        <w:t xml:space="preserve">in oktober 2016 </w:t>
      </w:r>
      <w:r w:rsidR="00AE110E">
        <w:rPr>
          <w:rFonts w:cs="Arial"/>
          <w:lang w:val="nl-BE" w:eastAsia="nl-BE"/>
        </w:rPr>
        <w:t xml:space="preserve">is </w:t>
      </w:r>
      <w:r w:rsidRPr="00A6725E">
        <w:rPr>
          <w:rFonts w:cs="Arial"/>
          <w:lang w:val="nl-BE" w:eastAsia="nl-BE"/>
        </w:rPr>
        <w:t xml:space="preserve">o.m. afgesproken dat, in samenwerking met het agentschap Onroerend Erfgoed, </w:t>
      </w:r>
      <w:r w:rsidR="00AE110E">
        <w:rPr>
          <w:rFonts w:cs="Arial"/>
          <w:lang w:val="nl-BE" w:eastAsia="nl-BE"/>
        </w:rPr>
        <w:t xml:space="preserve">zijn </w:t>
      </w:r>
      <w:r w:rsidRPr="00A6725E">
        <w:rPr>
          <w:rFonts w:cs="Arial"/>
          <w:lang w:val="nl-BE" w:eastAsia="nl-BE"/>
        </w:rPr>
        <w:t xml:space="preserve">leden bijkomend </w:t>
      </w:r>
      <w:r w:rsidR="00A6725E" w:rsidRPr="00A6725E">
        <w:rPr>
          <w:rFonts w:cs="Arial"/>
          <w:lang w:val="nl-BE" w:eastAsia="nl-BE"/>
        </w:rPr>
        <w:t>geï</w:t>
      </w:r>
      <w:r w:rsidRPr="00A6725E">
        <w:rPr>
          <w:rFonts w:cs="Arial"/>
          <w:lang w:val="nl-BE" w:eastAsia="nl-BE"/>
        </w:rPr>
        <w:t>nforme</w:t>
      </w:r>
      <w:r w:rsidR="00A6725E" w:rsidRPr="00A6725E">
        <w:rPr>
          <w:rFonts w:cs="Arial"/>
          <w:lang w:val="nl-BE" w:eastAsia="nl-BE"/>
        </w:rPr>
        <w:t>erd worden</w:t>
      </w:r>
      <w:r w:rsidRPr="00A6725E">
        <w:rPr>
          <w:rFonts w:cs="Arial"/>
          <w:lang w:val="nl-BE" w:eastAsia="nl-BE"/>
        </w:rPr>
        <w:t xml:space="preserve"> over de archeologieregelgeving. Naar aanleiding van deze afspraak </w:t>
      </w:r>
      <w:r w:rsidR="00AE110E">
        <w:rPr>
          <w:rFonts w:cs="Arial"/>
          <w:lang w:val="nl-BE" w:eastAsia="nl-BE"/>
        </w:rPr>
        <w:t xml:space="preserve">hadden </w:t>
      </w:r>
      <w:r w:rsidRPr="00A6725E">
        <w:rPr>
          <w:rFonts w:cs="Arial"/>
          <w:lang w:val="nl-BE" w:eastAsia="nl-BE"/>
        </w:rPr>
        <w:t xml:space="preserve">er diverse overlegmomenten </w:t>
      </w:r>
      <w:r w:rsidR="00AE110E">
        <w:rPr>
          <w:rFonts w:cs="Arial"/>
          <w:lang w:val="nl-BE" w:eastAsia="nl-BE"/>
        </w:rPr>
        <w:t xml:space="preserve">plaats </w:t>
      </w:r>
      <w:r w:rsidRPr="00A6725E">
        <w:rPr>
          <w:rFonts w:cs="Arial"/>
          <w:lang w:val="nl-BE" w:eastAsia="nl-BE"/>
        </w:rPr>
        <w:t xml:space="preserve">tussen NAV en Onroerend Erfgoed. Dit alles heeft geresulteerd in </w:t>
      </w:r>
      <w:r w:rsidR="005B6C26">
        <w:rPr>
          <w:rFonts w:cs="Arial"/>
          <w:lang w:val="nl-BE" w:eastAsia="nl-BE"/>
        </w:rPr>
        <w:t>drie</w:t>
      </w:r>
      <w:r w:rsidRPr="00A6725E">
        <w:rPr>
          <w:rFonts w:cs="Arial"/>
          <w:lang w:val="nl-BE" w:eastAsia="nl-BE"/>
        </w:rPr>
        <w:t xml:space="preserve"> infoavonden met als titel ‘NAV Memo: de archeologienota uitgespit tot op de bodem’. Deze infoavonden </w:t>
      </w:r>
      <w:r w:rsidR="005B6C26">
        <w:rPr>
          <w:rFonts w:cs="Arial"/>
          <w:lang w:val="nl-BE" w:eastAsia="nl-BE"/>
        </w:rPr>
        <w:t>hebben plaatsgevonden</w:t>
      </w:r>
      <w:r w:rsidRPr="00A6725E">
        <w:rPr>
          <w:rFonts w:cs="Arial"/>
          <w:lang w:val="nl-BE" w:eastAsia="nl-BE"/>
        </w:rPr>
        <w:t xml:space="preserve"> op 26 januari in Hasselt, 6 februari in Roeselare en 9 februari </w:t>
      </w:r>
      <w:r w:rsidR="00A6725E" w:rsidRPr="00A6725E">
        <w:rPr>
          <w:rFonts w:cs="Arial"/>
          <w:lang w:val="nl-BE" w:eastAsia="nl-BE"/>
        </w:rPr>
        <w:t xml:space="preserve">2017 </w:t>
      </w:r>
      <w:r w:rsidRPr="00A6725E">
        <w:rPr>
          <w:rFonts w:cs="Arial"/>
          <w:lang w:val="nl-BE" w:eastAsia="nl-BE"/>
        </w:rPr>
        <w:t>in Wijnegem. Personeelsleden van het agentschap hebben er steeds een presentatie gegeven en vragen beantwoord. NAV liet deze infoavonden door de Orde van Architecten goedkeuren voor permanente vorming architecten.</w:t>
      </w:r>
    </w:p>
    <w:p w14:paraId="1C047549" w14:textId="215200D4" w:rsidR="00AC6CBE" w:rsidRDefault="00AC6CBE" w:rsidP="008963C3">
      <w:pPr>
        <w:pStyle w:val="Nummering"/>
        <w:numPr>
          <w:ilvl w:val="0"/>
          <w:numId w:val="0"/>
        </w:numPr>
        <w:spacing w:after="0"/>
        <w:ind w:left="426"/>
        <w:rPr>
          <w:rFonts w:cs="Arial"/>
          <w:lang w:val="nl-BE" w:eastAsia="nl-BE"/>
        </w:rPr>
      </w:pPr>
      <w:r w:rsidRPr="00A6725E">
        <w:rPr>
          <w:rFonts w:cs="Arial"/>
          <w:lang w:val="nl-BE" w:eastAsia="nl-BE"/>
        </w:rPr>
        <w:t>Ook met V</w:t>
      </w:r>
      <w:r w:rsidR="00A6725E">
        <w:rPr>
          <w:rFonts w:cs="Arial"/>
          <w:lang w:val="nl-BE" w:eastAsia="nl-BE"/>
        </w:rPr>
        <w:t>laamse Ondernemers in Archeologie (V</w:t>
      </w:r>
      <w:r w:rsidRPr="00A6725E">
        <w:rPr>
          <w:rFonts w:cs="Arial"/>
          <w:lang w:val="nl-BE" w:eastAsia="nl-BE"/>
        </w:rPr>
        <w:t>ONA</w:t>
      </w:r>
      <w:r w:rsidR="00A6725E">
        <w:rPr>
          <w:rFonts w:cs="Arial"/>
          <w:lang w:val="nl-BE" w:eastAsia="nl-BE"/>
        </w:rPr>
        <w:t>)</w:t>
      </w:r>
      <w:r w:rsidRPr="00A6725E">
        <w:rPr>
          <w:rFonts w:cs="Arial"/>
          <w:lang w:val="nl-BE" w:eastAsia="nl-BE"/>
        </w:rPr>
        <w:t xml:space="preserve"> houdt </w:t>
      </w:r>
      <w:r w:rsidR="00A6725E" w:rsidRPr="00A6725E">
        <w:rPr>
          <w:rFonts w:cs="Arial"/>
          <w:lang w:val="nl-BE" w:eastAsia="nl-BE"/>
        </w:rPr>
        <w:t>het agentschap Onroerend Erfgoed</w:t>
      </w:r>
      <w:r w:rsidRPr="00A6725E">
        <w:rPr>
          <w:rFonts w:cs="Arial"/>
          <w:lang w:val="nl-BE" w:eastAsia="nl-BE"/>
        </w:rPr>
        <w:t xml:space="preserve"> contact. In 2017 wordt samen met VONA gewerkt aan een Code van Goede Praktijk, versie 3.0.</w:t>
      </w:r>
    </w:p>
    <w:p w14:paraId="009C7B5C" w14:textId="77777777" w:rsidR="008963C3" w:rsidRPr="00A6725E" w:rsidRDefault="008963C3" w:rsidP="008963C3">
      <w:pPr>
        <w:pStyle w:val="Nummering"/>
        <w:numPr>
          <w:ilvl w:val="0"/>
          <w:numId w:val="0"/>
        </w:numPr>
        <w:spacing w:after="0"/>
        <w:ind w:left="426"/>
        <w:rPr>
          <w:rFonts w:cs="Arial"/>
          <w:lang w:val="nl-BE" w:eastAsia="nl-BE"/>
        </w:rPr>
      </w:pPr>
    </w:p>
    <w:p w14:paraId="2AD7E1F7" w14:textId="5B95D66F" w:rsidR="00AC6CBE" w:rsidRPr="008963C3" w:rsidRDefault="00AC6CBE" w:rsidP="008963C3">
      <w:pPr>
        <w:pStyle w:val="Nummering"/>
        <w:numPr>
          <w:ilvl w:val="0"/>
          <w:numId w:val="12"/>
        </w:numPr>
        <w:spacing w:after="0"/>
        <w:ind w:left="426"/>
        <w:rPr>
          <w:rFonts w:cs="Arial"/>
          <w:lang w:val="nl-BE" w:eastAsia="nl-BE"/>
        </w:rPr>
      </w:pPr>
      <w:r w:rsidRPr="00A6725E">
        <w:rPr>
          <w:rFonts w:eastAsia="Verdana"/>
          <w:lang w:val="nl-BE" w:eastAsia="nl-BE"/>
        </w:rPr>
        <w:t xml:space="preserve">De vooropgestelde evaluatie van de </w:t>
      </w:r>
      <w:proofErr w:type="spellStart"/>
      <w:r w:rsidRPr="00A6725E">
        <w:rPr>
          <w:rFonts w:eastAsia="Verdana"/>
          <w:lang w:val="nl-BE" w:eastAsia="nl-BE"/>
        </w:rPr>
        <w:t>onroerenderfgoedregelgeving</w:t>
      </w:r>
      <w:proofErr w:type="spellEnd"/>
      <w:r w:rsidRPr="00A6725E">
        <w:rPr>
          <w:rFonts w:eastAsia="Verdana"/>
          <w:lang w:val="nl-BE" w:eastAsia="nl-BE"/>
        </w:rPr>
        <w:t xml:space="preserve"> focust op de jaren 2015-2016. Een evaluatie van het wijzigingsbeslu</w:t>
      </w:r>
      <w:r w:rsidR="005B6C26">
        <w:rPr>
          <w:rFonts w:eastAsia="Verdana"/>
          <w:lang w:val="nl-BE" w:eastAsia="nl-BE"/>
        </w:rPr>
        <w:t>it maakt daar geen deel van uit</w:t>
      </w:r>
      <w:r w:rsidRPr="00A6725E">
        <w:rPr>
          <w:rFonts w:eastAsia="Verdana"/>
          <w:lang w:val="nl-BE" w:eastAsia="nl-BE"/>
        </w:rPr>
        <w:t xml:space="preserve"> </w:t>
      </w:r>
      <w:r w:rsidR="005B6C26">
        <w:rPr>
          <w:rFonts w:eastAsia="Verdana"/>
          <w:lang w:val="nl-BE" w:eastAsia="nl-BE"/>
        </w:rPr>
        <w:t>(</w:t>
      </w:r>
      <w:r w:rsidRPr="00A6725E">
        <w:rPr>
          <w:rFonts w:eastAsia="Verdana"/>
          <w:lang w:val="nl-BE" w:eastAsia="nl-BE"/>
        </w:rPr>
        <w:t>pas in werking op 1/1/2017</w:t>
      </w:r>
      <w:r w:rsidR="005B6C26">
        <w:rPr>
          <w:rFonts w:eastAsia="Verdana"/>
          <w:lang w:val="nl-BE" w:eastAsia="nl-BE"/>
        </w:rPr>
        <w:t>)</w:t>
      </w:r>
      <w:r w:rsidRPr="00A6725E">
        <w:rPr>
          <w:rFonts w:eastAsia="Verdana"/>
          <w:lang w:val="nl-BE" w:eastAsia="nl-BE"/>
        </w:rPr>
        <w:t xml:space="preserve">. De archeologiebepalingen uit de wijzigingsbesluit zullen evenwel jaarlijks geëvalueerd worden overeenkomstig art. 5.6.1 </w:t>
      </w:r>
      <w:r w:rsidR="00A6725E">
        <w:rPr>
          <w:rFonts w:eastAsia="Verdana"/>
          <w:lang w:val="nl-BE" w:eastAsia="nl-BE"/>
        </w:rPr>
        <w:t xml:space="preserve">van het </w:t>
      </w:r>
      <w:proofErr w:type="spellStart"/>
      <w:r w:rsidRPr="00A6725E">
        <w:rPr>
          <w:rFonts w:eastAsia="Verdana"/>
          <w:lang w:val="nl-BE" w:eastAsia="nl-BE"/>
        </w:rPr>
        <w:t>Onroerenderfgoeddecreet</w:t>
      </w:r>
      <w:proofErr w:type="spellEnd"/>
      <w:r w:rsidRPr="00A6725E">
        <w:rPr>
          <w:rFonts w:eastAsia="Verdana"/>
          <w:lang w:val="nl-BE" w:eastAsia="nl-BE"/>
        </w:rPr>
        <w:t>.</w:t>
      </w:r>
    </w:p>
    <w:p w14:paraId="0E352169" w14:textId="77777777" w:rsidR="008963C3" w:rsidRPr="00A6725E" w:rsidRDefault="008963C3" w:rsidP="008963C3">
      <w:pPr>
        <w:pStyle w:val="Nummering"/>
        <w:numPr>
          <w:ilvl w:val="0"/>
          <w:numId w:val="0"/>
        </w:numPr>
        <w:spacing w:after="0"/>
        <w:ind w:left="426"/>
        <w:rPr>
          <w:rFonts w:cs="Arial"/>
          <w:lang w:val="nl-BE" w:eastAsia="nl-BE"/>
        </w:rPr>
      </w:pPr>
    </w:p>
    <w:p w14:paraId="2BCFFC48" w14:textId="44E9D5E5" w:rsidR="00A6725E" w:rsidRPr="00A6725E" w:rsidRDefault="005B6C26" w:rsidP="008963C3">
      <w:pPr>
        <w:pStyle w:val="Lijstalinea"/>
        <w:numPr>
          <w:ilvl w:val="0"/>
          <w:numId w:val="12"/>
        </w:numPr>
        <w:ind w:left="426"/>
        <w:jc w:val="both"/>
        <w:rPr>
          <w:rFonts w:ascii="Verdana" w:hAnsi="Verdana"/>
          <w:sz w:val="20"/>
          <w:szCs w:val="20"/>
          <w:lang w:val="nl-BE" w:eastAsia="en-US"/>
        </w:rPr>
      </w:pPr>
      <w:r>
        <w:rPr>
          <w:rFonts w:ascii="Verdana" w:hAnsi="Verdana"/>
          <w:sz w:val="20"/>
          <w:szCs w:val="20"/>
        </w:rPr>
        <w:t>Ik sta open voor elk initiatief in die zin vanuit de betrokken sectoren en plan hierover nog een vergadering met alle mogelijke betrokken actoren.</w:t>
      </w:r>
    </w:p>
    <w:sectPr w:rsidR="00A6725E" w:rsidRPr="00A6725E" w:rsidSect="00D07EAC">
      <w:headerReference w:type="even" r:id="rId11"/>
      <w:footerReference w:type="even" r:id="rId12"/>
      <w:footerReference w:type="default" r:id="rId13"/>
      <w:headerReference w:type="first" r:id="rId1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8DEE" w14:textId="77777777" w:rsidR="00131C9A" w:rsidRDefault="00131C9A">
      <w:r>
        <w:separator/>
      </w:r>
    </w:p>
  </w:endnote>
  <w:endnote w:type="continuationSeparator" w:id="0">
    <w:p w14:paraId="50991A5F" w14:textId="77777777" w:rsidR="00131C9A" w:rsidRDefault="0013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charset w:val="00"/>
    <w:family w:val="auto"/>
    <w:pitch w:val="variable"/>
    <w:sig w:usb0="00000007" w:usb1="00000000" w:usb2="00000000" w:usb3="00000000" w:csb0="00000093"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7DB0" w14:textId="77777777" w:rsidR="00D75FB1" w:rsidRDefault="00C96CB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4E6887A" w14:textId="77777777" w:rsidR="00D75FB1" w:rsidRDefault="00131C9A"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167E" w14:textId="77777777" w:rsidR="00D75FB1" w:rsidRDefault="00131C9A" w:rsidP="001A6DC6">
    <w:pPr>
      <w:pStyle w:val="Voettekst"/>
      <w:framePr w:wrap="around" w:vAnchor="text" w:hAnchor="margin" w:xAlign="right" w:y="1"/>
      <w:rPr>
        <w:rStyle w:val="Paginanummer"/>
      </w:rPr>
    </w:pPr>
  </w:p>
  <w:p w14:paraId="763CEA76" w14:textId="77777777" w:rsidR="00D75FB1" w:rsidRDefault="00131C9A"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617C" w14:textId="77777777" w:rsidR="00131C9A" w:rsidRDefault="00131C9A">
      <w:r>
        <w:separator/>
      </w:r>
    </w:p>
  </w:footnote>
  <w:footnote w:type="continuationSeparator" w:id="0">
    <w:p w14:paraId="1A87389D" w14:textId="77777777" w:rsidR="00131C9A" w:rsidRDefault="0013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D377" w14:textId="77777777" w:rsidR="0088108E" w:rsidRDefault="00C96CB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E043CA" w14:textId="77777777" w:rsidR="0088108E" w:rsidRDefault="00131C9A"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C2CD" w14:textId="77777777" w:rsidR="00FC415D" w:rsidRDefault="00C96CB1">
    <w:pPr>
      <w:pStyle w:val="Koptekst"/>
    </w:pPr>
    <w:r>
      <w:rPr>
        <w:noProof/>
        <w:lang w:val="nl-BE" w:eastAsia="nl-BE"/>
      </w:rPr>
      <w:drawing>
        <wp:anchor distT="0" distB="0" distL="114300" distR="114300" simplePos="0" relativeHeight="251659264" behindDoc="1" locked="1" layoutInCell="1" allowOverlap="1" wp14:anchorId="23ED418E" wp14:editId="5FF8A5EC">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8AB"/>
    <w:multiLevelType w:val="hybridMultilevel"/>
    <w:tmpl w:val="9ABC8456"/>
    <w:lvl w:ilvl="0" w:tplc="076E5620">
      <w:start w:val="1"/>
      <w:numFmt w:val="bullet"/>
      <w:lvlText w:val="-"/>
      <w:lvlJc w:val="left"/>
      <w:pPr>
        <w:ind w:left="1142" w:hanging="360"/>
      </w:pPr>
      <w:rPr>
        <w:rFonts w:ascii="Verdana" w:eastAsia="Times New Roman" w:hAnsi="Verdana" w:cs="Times New Roman" w:hint="default"/>
      </w:rPr>
    </w:lvl>
    <w:lvl w:ilvl="1" w:tplc="08130003" w:tentative="1">
      <w:start w:val="1"/>
      <w:numFmt w:val="bullet"/>
      <w:lvlText w:val="o"/>
      <w:lvlJc w:val="left"/>
      <w:pPr>
        <w:ind w:left="1862" w:hanging="360"/>
      </w:pPr>
      <w:rPr>
        <w:rFonts w:ascii="Courier New" w:hAnsi="Courier New" w:cs="Courier New" w:hint="default"/>
      </w:rPr>
    </w:lvl>
    <w:lvl w:ilvl="2" w:tplc="08130005" w:tentative="1">
      <w:start w:val="1"/>
      <w:numFmt w:val="bullet"/>
      <w:lvlText w:val=""/>
      <w:lvlJc w:val="left"/>
      <w:pPr>
        <w:ind w:left="2582" w:hanging="360"/>
      </w:pPr>
      <w:rPr>
        <w:rFonts w:ascii="Wingdings" w:hAnsi="Wingdings" w:hint="default"/>
      </w:rPr>
    </w:lvl>
    <w:lvl w:ilvl="3" w:tplc="08130001" w:tentative="1">
      <w:start w:val="1"/>
      <w:numFmt w:val="bullet"/>
      <w:lvlText w:val=""/>
      <w:lvlJc w:val="left"/>
      <w:pPr>
        <w:ind w:left="3302" w:hanging="360"/>
      </w:pPr>
      <w:rPr>
        <w:rFonts w:ascii="Symbol" w:hAnsi="Symbol" w:hint="default"/>
      </w:rPr>
    </w:lvl>
    <w:lvl w:ilvl="4" w:tplc="08130003" w:tentative="1">
      <w:start w:val="1"/>
      <w:numFmt w:val="bullet"/>
      <w:lvlText w:val="o"/>
      <w:lvlJc w:val="left"/>
      <w:pPr>
        <w:ind w:left="4022" w:hanging="360"/>
      </w:pPr>
      <w:rPr>
        <w:rFonts w:ascii="Courier New" w:hAnsi="Courier New" w:cs="Courier New" w:hint="default"/>
      </w:rPr>
    </w:lvl>
    <w:lvl w:ilvl="5" w:tplc="08130005" w:tentative="1">
      <w:start w:val="1"/>
      <w:numFmt w:val="bullet"/>
      <w:lvlText w:val=""/>
      <w:lvlJc w:val="left"/>
      <w:pPr>
        <w:ind w:left="4742" w:hanging="360"/>
      </w:pPr>
      <w:rPr>
        <w:rFonts w:ascii="Wingdings" w:hAnsi="Wingdings" w:hint="default"/>
      </w:rPr>
    </w:lvl>
    <w:lvl w:ilvl="6" w:tplc="08130001" w:tentative="1">
      <w:start w:val="1"/>
      <w:numFmt w:val="bullet"/>
      <w:lvlText w:val=""/>
      <w:lvlJc w:val="left"/>
      <w:pPr>
        <w:ind w:left="5462" w:hanging="360"/>
      </w:pPr>
      <w:rPr>
        <w:rFonts w:ascii="Symbol" w:hAnsi="Symbol" w:hint="default"/>
      </w:rPr>
    </w:lvl>
    <w:lvl w:ilvl="7" w:tplc="08130003" w:tentative="1">
      <w:start w:val="1"/>
      <w:numFmt w:val="bullet"/>
      <w:lvlText w:val="o"/>
      <w:lvlJc w:val="left"/>
      <w:pPr>
        <w:ind w:left="6182" w:hanging="360"/>
      </w:pPr>
      <w:rPr>
        <w:rFonts w:ascii="Courier New" w:hAnsi="Courier New" w:cs="Courier New" w:hint="default"/>
      </w:rPr>
    </w:lvl>
    <w:lvl w:ilvl="8" w:tplc="08130005" w:tentative="1">
      <w:start w:val="1"/>
      <w:numFmt w:val="bullet"/>
      <w:lvlText w:val=""/>
      <w:lvlJc w:val="left"/>
      <w:pPr>
        <w:ind w:left="6902" w:hanging="360"/>
      </w:pPr>
      <w:rPr>
        <w:rFonts w:ascii="Wingdings" w:hAnsi="Wingdings" w:hint="default"/>
      </w:r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BB4766"/>
    <w:multiLevelType w:val="hybridMultilevel"/>
    <w:tmpl w:val="C1D48B2C"/>
    <w:lvl w:ilvl="0" w:tplc="D6D2B9E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B7B2BC5"/>
    <w:multiLevelType w:val="hybridMultilevel"/>
    <w:tmpl w:val="7F58DF4C"/>
    <w:lvl w:ilvl="0" w:tplc="FC3C19C6">
      <w:start w:val="1"/>
      <w:numFmt w:val="decimal"/>
      <w:lvlText w:val="%1."/>
      <w:lvlJc w:val="left"/>
      <w:pPr>
        <w:ind w:left="785" w:hanging="360"/>
      </w:pPr>
      <w:rPr>
        <w:rFonts w:eastAsia="Verdana" w:cs="Times New Roman" w:hint="default"/>
        <w:color w:val="auto"/>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5" w15:restartNumberingAfterBreak="0">
    <w:nsid w:val="3CF54979"/>
    <w:multiLevelType w:val="hybridMultilevel"/>
    <w:tmpl w:val="DFB231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5E2C40"/>
    <w:multiLevelType w:val="hybridMultilevel"/>
    <w:tmpl w:val="AC44375E"/>
    <w:lvl w:ilvl="0" w:tplc="076E5620">
      <w:start w:val="1"/>
      <w:numFmt w:val="bullet"/>
      <w:lvlText w:val="-"/>
      <w:lvlJc w:val="left"/>
      <w:pPr>
        <w:ind w:left="1142"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4E04BD"/>
    <w:multiLevelType w:val="hybridMultilevel"/>
    <w:tmpl w:val="C9322E8C"/>
    <w:lvl w:ilvl="0" w:tplc="0813000F">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9"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15:restartNumberingAfterBreak="0">
    <w:nsid w:val="70EC62D1"/>
    <w:multiLevelType w:val="hybridMultilevel"/>
    <w:tmpl w:val="0A223B6A"/>
    <w:lvl w:ilvl="0" w:tplc="92E86E1E">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05211D"/>
    <w:multiLevelType w:val="hybridMultilevel"/>
    <w:tmpl w:val="89A40088"/>
    <w:lvl w:ilvl="0" w:tplc="424CB732">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74FA77ED"/>
    <w:multiLevelType w:val="hybridMultilevel"/>
    <w:tmpl w:val="6E8460CA"/>
    <w:lvl w:ilvl="0" w:tplc="8660A43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C6862A8"/>
    <w:multiLevelType w:val="hybridMultilevel"/>
    <w:tmpl w:val="256ACD66"/>
    <w:lvl w:ilvl="0" w:tplc="82EC363C">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9"/>
  </w:num>
  <w:num w:numId="2">
    <w:abstractNumId w:val="9"/>
  </w:num>
  <w:num w:numId="3">
    <w:abstractNumId w:val="1"/>
  </w:num>
  <w:num w:numId="4">
    <w:abstractNumId w:val="6"/>
  </w:num>
  <w:num w:numId="5">
    <w:abstractNumId w:val="5"/>
  </w:num>
  <w:num w:numId="6">
    <w:abstractNumId w:val="8"/>
  </w:num>
  <w:num w:numId="7">
    <w:abstractNumId w:val="2"/>
  </w:num>
  <w:num w:numId="8">
    <w:abstractNumId w:val="3"/>
  </w:num>
  <w:num w:numId="9">
    <w:abstractNumId w:val="11"/>
  </w:num>
  <w:num w:numId="10">
    <w:abstractNumId w:val="10"/>
  </w:num>
  <w:num w:numId="11">
    <w:abstractNumId w:val="12"/>
  </w:num>
  <w:num w:numId="12">
    <w:abstractNumId w:val="4"/>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C"/>
    <w:rsid w:val="000976E9"/>
    <w:rsid w:val="000C4E8C"/>
    <w:rsid w:val="000F3532"/>
    <w:rsid w:val="001023E0"/>
    <w:rsid w:val="00131C9A"/>
    <w:rsid w:val="00152DB3"/>
    <w:rsid w:val="00210C07"/>
    <w:rsid w:val="002346BF"/>
    <w:rsid w:val="00301372"/>
    <w:rsid w:val="00326A58"/>
    <w:rsid w:val="003A470F"/>
    <w:rsid w:val="00440320"/>
    <w:rsid w:val="00453455"/>
    <w:rsid w:val="004F2958"/>
    <w:rsid w:val="00512CDF"/>
    <w:rsid w:val="0056360C"/>
    <w:rsid w:val="005B6C26"/>
    <w:rsid w:val="005D5073"/>
    <w:rsid w:val="005E38CA"/>
    <w:rsid w:val="00647238"/>
    <w:rsid w:val="006563FB"/>
    <w:rsid w:val="0069528B"/>
    <w:rsid w:val="006D2262"/>
    <w:rsid w:val="0071248C"/>
    <w:rsid w:val="007252C7"/>
    <w:rsid w:val="0075030D"/>
    <w:rsid w:val="007A4B5B"/>
    <w:rsid w:val="007A5241"/>
    <w:rsid w:val="007B0346"/>
    <w:rsid w:val="007C07F4"/>
    <w:rsid w:val="008963C3"/>
    <w:rsid w:val="008D1BFB"/>
    <w:rsid w:val="008D5DB4"/>
    <w:rsid w:val="00932B48"/>
    <w:rsid w:val="009347E0"/>
    <w:rsid w:val="009D2371"/>
    <w:rsid w:val="009D7043"/>
    <w:rsid w:val="00A172C9"/>
    <w:rsid w:val="00A51FBA"/>
    <w:rsid w:val="00A6183A"/>
    <w:rsid w:val="00A6725E"/>
    <w:rsid w:val="00AC6CBE"/>
    <w:rsid w:val="00AE110E"/>
    <w:rsid w:val="00AE4255"/>
    <w:rsid w:val="00AF015F"/>
    <w:rsid w:val="00B2400B"/>
    <w:rsid w:val="00B45EB2"/>
    <w:rsid w:val="00B47AD7"/>
    <w:rsid w:val="00BE071A"/>
    <w:rsid w:val="00BE425A"/>
    <w:rsid w:val="00C14FC5"/>
    <w:rsid w:val="00C91441"/>
    <w:rsid w:val="00C96CB1"/>
    <w:rsid w:val="00D02FE6"/>
    <w:rsid w:val="00D71D99"/>
    <w:rsid w:val="00D754F2"/>
    <w:rsid w:val="00DB41C0"/>
    <w:rsid w:val="00DC4DB6"/>
    <w:rsid w:val="00E55099"/>
    <w:rsid w:val="00E55200"/>
    <w:rsid w:val="00E85C8D"/>
    <w:rsid w:val="00ED4AD8"/>
    <w:rsid w:val="00F77288"/>
    <w:rsid w:val="00F9682E"/>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99E4B"/>
  <w15:docId w15:val="{465972AC-F817-4F11-B794-EABE4532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1023E0"/>
    <w:pPr>
      <w:ind w:left="720"/>
      <w:contextualSpacing/>
    </w:pPr>
  </w:style>
  <w:style w:type="paragraph" w:customStyle="1" w:styleId="StijlStandaardSVVerdana10ptCursiefLinks-175cm">
    <w:name w:val="Stijl Standaard SV + Verdana 10 pt Cursief Links:  -175 cm"/>
    <w:basedOn w:val="Standaard"/>
    <w:rsid w:val="00F77288"/>
    <w:pPr>
      <w:jc w:val="both"/>
    </w:pPr>
    <w:rPr>
      <w:rFonts w:ascii="Verdana" w:hAnsi="Verdana"/>
      <w:i/>
      <w:iCs/>
      <w:sz w:val="20"/>
      <w:szCs w:val="20"/>
    </w:rPr>
  </w:style>
  <w:style w:type="paragraph" w:customStyle="1" w:styleId="StijlStandaardSVVerdana10ptLinks-175cm">
    <w:name w:val="Stijl Standaard SV + Verdana 10 pt Links:  -175 cm"/>
    <w:basedOn w:val="Standaard"/>
    <w:rsid w:val="00F77288"/>
    <w:pPr>
      <w:jc w:val="both"/>
    </w:pPr>
    <w:rPr>
      <w:rFonts w:ascii="Verdana" w:hAnsi="Verdana"/>
      <w:sz w:val="20"/>
      <w:szCs w:val="20"/>
    </w:rPr>
  </w:style>
  <w:style w:type="table" w:styleId="Tabelraster">
    <w:name w:val="Table Grid"/>
    <w:basedOn w:val="Standaardtabel"/>
    <w:rsid w:val="00AC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C6CBE"/>
    <w:pPr>
      <w:tabs>
        <w:tab w:val="center" w:pos="4536"/>
        <w:tab w:val="right" w:pos="9072"/>
      </w:tabs>
      <w:jc w:val="both"/>
    </w:pPr>
    <w:rPr>
      <w:rFonts w:ascii="Verdana" w:hAnsi="Verdana"/>
      <w:sz w:val="20"/>
      <w:szCs w:val="20"/>
    </w:rPr>
  </w:style>
  <w:style w:type="character" w:customStyle="1" w:styleId="KoptekstChar">
    <w:name w:val="Koptekst Char"/>
    <w:basedOn w:val="Standaardalinea-lettertype"/>
    <w:link w:val="Koptekst"/>
    <w:uiPriority w:val="99"/>
    <w:rsid w:val="00AC6CBE"/>
    <w:rPr>
      <w:rFonts w:ascii="Verdana" w:hAnsi="Verdana"/>
      <w:lang w:val="nl-NL" w:eastAsia="nl-NL"/>
    </w:rPr>
  </w:style>
  <w:style w:type="character" w:styleId="Paginanummer">
    <w:name w:val="page number"/>
    <w:basedOn w:val="Standaardalinea-lettertype"/>
    <w:rsid w:val="00AC6CBE"/>
  </w:style>
  <w:style w:type="paragraph" w:customStyle="1" w:styleId="Nummering">
    <w:name w:val="Nummering"/>
    <w:basedOn w:val="Lijstalinea"/>
    <w:link w:val="NummeringChar"/>
    <w:qFormat/>
    <w:rsid w:val="00AC6CBE"/>
    <w:pPr>
      <w:numPr>
        <w:numId w:val="7"/>
      </w:numPr>
      <w:spacing w:after="120"/>
      <w:contextualSpacing w:val="0"/>
      <w:jc w:val="both"/>
    </w:pPr>
    <w:rPr>
      <w:rFonts w:ascii="Verdana" w:hAnsi="Verdana"/>
      <w:sz w:val="20"/>
      <w:lang w:val="en-US"/>
    </w:rPr>
  </w:style>
  <w:style w:type="character" w:customStyle="1" w:styleId="NummeringChar">
    <w:name w:val="Nummering Char"/>
    <w:link w:val="Nummering"/>
    <w:rsid w:val="00AC6CBE"/>
    <w:rPr>
      <w:rFonts w:ascii="Verdana" w:hAnsi="Verdana"/>
      <w:szCs w:val="24"/>
      <w:lang w:val="en-US" w:eastAsia="nl-NL"/>
    </w:rPr>
  </w:style>
  <w:style w:type="character" w:customStyle="1" w:styleId="apple-converted-space">
    <w:name w:val="apple-converted-space"/>
    <w:basedOn w:val="Standaardalinea-lettertype"/>
    <w:rsid w:val="00AC6CBE"/>
  </w:style>
  <w:style w:type="paragraph" w:styleId="Ballontekst">
    <w:name w:val="Balloon Text"/>
    <w:basedOn w:val="Standaard"/>
    <w:link w:val="BallontekstChar"/>
    <w:semiHidden/>
    <w:unhideWhenUsed/>
    <w:rsid w:val="00F9682E"/>
    <w:rPr>
      <w:rFonts w:ascii="Segoe UI" w:hAnsi="Segoe UI" w:cs="Segoe UI"/>
      <w:sz w:val="18"/>
      <w:szCs w:val="18"/>
    </w:rPr>
  </w:style>
  <w:style w:type="character" w:customStyle="1" w:styleId="BallontekstChar">
    <w:name w:val="Ballontekst Char"/>
    <w:basedOn w:val="Standaardalinea-lettertype"/>
    <w:link w:val="Ballontekst"/>
    <w:semiHidden/>
    <w:rsid w:val="00F9682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FEE8-A516-43A0-BE0B-3B164FA1FF83}">
  <ds:schemaRefs>
    <ds:schemaRef ds:uri="http://schemas.microsoft.com/sharepoint/v3/contenttype/forms"/>
  </ds:schemaRefs>
</ds:datastoreItem>
</file>

<file path=customXml/itemProps2.xml><?xml version="1.0" encoding="utf-8"?>
<ds:datastoreItem xmlns:ds="http://schemas.openxmlformats.org/officeDocument/2006/customXml" ds:itemID="{43C16562-4359-4B3D-A1A7-CD8474BC3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CC6118-6C9C-41CB-8C50-B4C772837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FDFE0-5D81-412C-B80A-96CE84B1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2</Pages>
  <Words>584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Sofie Vandeweerd</cp:lastModifiedBy>
  <cp:revision>2</cp:revision>
  <cp:lastPrinted>2017-05-03T09:08:00Z</cp:lastPrinted>
  <dcterms:created xsi:type="dcterms:W3CDTF">2017-05-10T15:11:00Z</dcterms:created>
  <dcterms:modified xsi:type="dcterms:W3CDTF">2017-05-10T15:11:00Z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0x010100E5A2DEB3C481334988283605DB6AF619</vt:lpwstr>
  </property>
</Properties>
</file>