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3EFA0" w14:textId="77777777" w:rsidR="00ED3D88" w:rsidRPr="00ED3D88" w:rsidRDefault="00ED3D88" w:rsidP="00ED3D88">
      <w:pPr>
        <w:jc w:val="both"/>
        <w:rPr>
          <w:rFonts w:ascii="Verdana" w:hAnsi="Verdana"/>
          <w:b/>
          <w:smallCaps/>
          <w:sz w:val="20"/>
          <w:szCs w:val="20"/>
          <w:lang w:val="nl-BE"/>
        </w:rPr>
      </w:pPr>
      <w:r w:rsidRPr="00ED3D88">
        <w:rPr>
          <w:rFonts w:ascii="Verdana" w:hAnsi="Verdana"/>
          <w:b/>
          <w:smallCaps/>
          <w:sz w:val="20"/>
          <w:szCs w:val="20"/>
          <w:lang w:val="nl-BE"/>
        </w:rPr>
        <w:t xml:space="preserve">joke </w:t>
      </w:r>
      <w:proofErr w:type="spellStart"/>
      <w:r w:rsidRPr="00ED3D88">
        <w:rPr>
          <w:rFonts w:ascii="Verdana" w:hAnsi="Verdana"/>
          <w:b/>
          <w:smallCaps/>
          <w:sz w:val="20"/>
          <w:szCs w:val="20"/>
          <w:lang w:val="nl-BE"/>
        </w:rPr>
        <w:t>schauvliege</w:t>
      </w:r>
      <w:proofErr w:type="spellEnd"/>
    </w:p>
    <w:p w14:paraId="3D6C9AC0" w14:textId="77777777" w:rsidR="00ED3D88" w:rsidRPr="00ED3D88" w:rsidRDefault="00ED3D88" w:rsidP="00ED3D88">
      <w:pPr>
        <w:jc w:val="both"/>
        <w:rPr>
          <w:rFonts w:ascii="Verdana" w:hAnsi="Verdana"/>
          <w:smallCaps/>
          <w:sz w:val="20"/>
          <w:szCs w:val="20"/>
          <w:lang w:val="nl-BE"/>
        </w:rPr>
      </w:pPr>
      <w:proofErr w:type="spellStart"/>
      <w:r w:rsidRPr="00ED3D88">
        <w:rPr>
          <w:rFonts w:ascii="Verdana" w:hAnsi="Verdana"/>
          <w:smallCaps/>
          <w:sz w:val="20"/>
          <w:szCs w:val="20"/>
          <w:lang w:val="nl-BE"/>
        </w:rPr>
        <w:t>vlaams</w:t>
      </w:r>
      <w:proofErr w:type="spellEnd"/>
      <w:r w:rsidRPr="00ED3D88">
        <w:rPr>
          <w:rFonts w:ascii="Verdana" w:hAnsi="Verdana"/>
          <w:smallCaps/>
          <w:sz w:val="20"/>
          <w:szCs w:val="20"/>
          <w:lang w:val="nl-BE"/>
        </w:rPr>
        <w:t xml:space="preserve"> minister van omgeving, natuur en landbouw</w:t>
      </w:r>
    </w:p>
    <w:p w14:paraId="0A79987C" w14:textId="77777777" w:rsidR="000976E9" w:rsidRPr="00ED3D88" w:rsidRDefault="000976E9" w:rsidP="00AE4255">
      <w:pPr>
        <w:jc w:val="both"/>
        <w:rPr>
          <w:rFonts w:ascii="Verdana" w:hAnsi="Verdana"/>
          <w:sz w:val="20"/>
          <w:szCs w:val="20"/>
          <w:lang w:val="nl-BE"/>
        </w:rPr>
      </w:pPr>
    </w:p>
    <w:p w14:paraId="75DB93A0" w14:textId="77777777" w:rsidR="000976E9" w:rsidRPr="00AE4255" w:rsidRDefault="000976E9" w:rsidP="00AE4255">
      <w:pPr>
        <w:pStyle w:val="A-Lijn"/>
        <w:jc w:val="both"/>
        <w:rPr>
          <w:rFonts w:ascii="Verdana" w:hAnsi="Verdana"/>
          <w:sz w:val="20"/>
          <w:szCs w:val="20"/>
        </w:rPr>
      </w:pPr>
    </w:p>
    <w:p w14:paraId="03BB6561" w14:textId="77777777"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14:paraId="472CDE47" w14:textId="77777777" w:rsidR="00210C07" w:rsidRPr="00AE4255" w:rsidRDefault="000976E9"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lastRenderedPageBreak/>
        <w:t xml:space="preserve">antwoord </w:t>
      </w:r>
    </w:p>
    <w:p w14:paraId="1F5831CC" w14:textId="77777777"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lastRenderedPageBreak/>
        <w:t>op vraag nr.</w:t>
      </w:r>
      <w:r w:rsidRPr="00AE4255">
        <w:rPr>
          <w:rFonts w:ascii="Verdana" w:hAnsi="Verdana"/>
          <w:b w:val="0"/>
          <w:sz w:val="20"/>
          <w:szCs w:val="20"/>
        </w:rPr>
        <w:t xml:space="preserve"> </w:t>
      </w:r>
      <w:r w:rsidR="003B7CE2">
        <w:rPr>
          <w:rFonts w:ascii="Verdana" w:hAnsi="Verdana"/>
          <w:b w:val="0"/>
          <w:sz w:val="20"/>
          <w:szCs w:val="20"/>
        </w:rPr>
        <w:t>987</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3B7CE2">
        <w:rPr>
          <w:rFonts w:ascii="Verdana" w:hAnsi="Verdana"/>
          <w:b w:val="0"/>
          <w:sz w:val="20"/>
          <w:szCs w:val="20"/>
        </w:rPr>
        <w:t>5</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3B7CE2">
            <w:rPr>
              <w:rFonts w:ascii="Verdana" w:hAnsi="Verdana"/>
              <w:b w:val="0"/>
              <w:smallCaps w:val="0"/>
              <w:sz w:val="20"/>
              <w:szCs w:val="20"/>
            </w:rPr>
            <w:t>september</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C35D85">
            <w:rPr>
              <w:rFonts w:ascii="Verdana" w:hAnsi="Verdana"/>
              <w:b w:val="0"/>
              <w:smallCaps w:val="0"/>
              <w:sz w:val="20"/>
              <w:szCs w:val="20"/>
            </w:rPr>
            <w:t>2017</w:t>
          </w:r>
        </w:sdtContent>
      </w:sdt>
    </w:p>
    <w:p w14:paraId="157B1715" w14:textId="77777777"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proofErr w:type="spellStart"/>
      <w:r w:rsidR="003B7CE2" w:rsidRPr="003B7CE2">
        <w:rPr>
          <w:rFonts w:ascii="Verdana" w:hAnsi="Verdana"/>
          <w:b/>
          <w:smallCaps/>
          <w:sz w:val="20"/>
          <w:szCs w:val="20"/>
        </w:rPr>
        <w:t>lydia</w:t>
      </w:r>
      <w:proofErr w:type="spellEnd"/>
      <w:r w:rsidR="003B7CE2" w:rsidRPr="003B7CE2">
        <w:rPr>
          <w:rFonts w:ascii="Verdana" w:hAnsi="Verdana"/>
          <w:b/>
          <w:smallCaps/>
          <w:sz w:val="20"/>
          <w:szCs w:val="20"/>
        </w:rPr>
        <w:t xml:space="preserve"> </w:t>
      </w:r>
      <w:proofErr w:type="spellStart"/>
      <w:r w:rsidR="003B7CE2" w:rsidRPr="003B7CE2">
        <w:rPr>
          <w:rFonts w:ascii="Verdana" w:hAnsi="Verdana"/>
          <w:b/>
          <w:smallCaps/>
          <w:sz w:val="20"/>
          <w:szCs w:val="20"/>
        </w:rPr>
        <w:t>peeters</w:t>
      </w:r>
      <w:proofErr w:type="spellEnd"/>
    </w:p>
    <w:p w14:paraId="2E314E68" w14:textId="77777777" w:rsidR="00326A58" w:rsidRPr="00AE4255" w:rsidRDefault="00326A58" w:rsidP="00AE4255">
      <w:pPr>
        <w:jc w:val="both"/>
        <w:rPr>
          <w:rFonts w:ascii="Verdana" w:hAnsi="Verdana"/>
          <w:sz w:val="20"/>
          <w:szCs w:val="20"/>
        </w:rPr>
      </w:pPr>
    </w:p>
    <w:p w14:paraId="3499B417" w14:textId="77777777" w:rsidR="000976E9" w:rsidRDefault="000976E9" w:rsidP="00AE4255">
      <w:pPr>
        <w:pStyle w:val="A-Lijn"/>
        <w:jc w:val="both"/>
        <w:rPr>
          <w:rFonts w:ascii="Verdana" w:hAnsi="Verdana"/>
          <w:sz w:val="20"/>
          <w:szCs w:val="20"/>
        </w:rPr>
      </w:pPr>
    </w:p>
    <w:p w14:paraId="7B447883" w14:textId="77777777" w:rsidR="00135407" w:rsidRPr="00AE4255" w:rsidRDefault="00135407" w:rsidP="00AE4255">
      <w:pPr>
        <w:pStyle w:val="A-Lijn"/>
        <w:jc w:val="both"/>
        <w:rPr>
          <w:rFonts w:ascii="Verdana" w:hAnsi="Verdana"/>
          <w:sz w:val="20"/>
          <w:szCs w:val="20"/>
        </w:rPr>
      </w:pPr>
    </w:p>
    <w:p w14:paraId="079E94B3" w14:textId="1464D868" w:rsidR="003B7CE2" w:rsidRPr="00135407" w:rsidRDefault="003B7CE2" w:rsidP="00135407">
      <w:pPr>
        <w:pStyle w:val="Lijstalinea"/>
        <w:numPr>
          <w:ilvl w:val="0"/>
          <w:numId w:val="7"/>
        </w:numPr>
        <w:jc w:val="both"/>
        <w:rPr>
          <w:rFonts w:ascii="Verdana" w:hAnsi="Verdana"/>
          <w:sz w:val="20"/>
          <w:szCs w:val="20"/>
          <w:lang w:val="nl-BE"/>
        </w:rPr>
      </w:pPr>
      <w:r w:rsidRPr="00135407">
        <w:rPr>
          <w:rFonts w:ascii="Verdana" w:hAnsi="Verdana"/>
          <w:sz w:val="20"/>
          <w:szCs w:val="20"/>
          <w:lang w:val="nl-BE"/>
        </w:rPr>
        <w:t xml:space="preserve">De cijfers die in </w:t>
      </w:r>
      <w:proofErr w:type="spellStart"/>
      <w:r w:rsidRPr="00135407">
        <w:rPr>
          <w:rFonts w:ascii="Verdana" w:hAnsi="Verdana"/>
          <w:sz w:val="20"/>
          <w:szCs w:val="20"/>
          <w:lang w:val="nl-BE"/>
        </w:rPr>
        <w:t>Knack</w:t>
      </w:r>
      <w:proofErr w:type="spellEnd"/>
      <w:r w:rsidRPr="00135407">
        <w:rPr>
          <w:rFonts w:ascii="Verdana" w:hAnsi="Verdana"/>
          <w:sz w:val="20"/>
          <w:szCs w:val="20"/>
          <w:lang w:val="nl-BE"/>
        </w:rPr>
        <w:t xml:space="preserve"> worden vermeld - gebaseerd op de situatie in april 2017 - geven aan dat voor de periode 2010 - 2015 in totaal 153 miljoen Euro </w:t>
      </w:r>
      <w:r w:rsidR="00B46313" w:rsidRPr="00135407">
        <w:rPr>
          <w:rFonts w:ascii="Verdana" w:hAnsi="Verdana"/>
          <w:sz w:val="20"/>
          <w:szCs w:val="20"/>
          <w:lang w:val="nl-BE"/>
        </w:rPr>
        <w:t xml:space="preserve">werd </w:t>
      </w:r>
      <w:proofErr w:type="spellStart"/>
      <w:r w:rsidRPr="00135407">
        <w:rPr>
          <w:rFonts w:ascii="Verdana" w:hAnsi="Verdana"/>
          <w:sz w:val="20"/>
          <w:szCs w:val="20"/>
          <w:lang w:val="nl-BE"/>
        </w:rPr>
        <w:t>ingekohierd</w:t>
      </w:r>
      <w:proofErr w:type="spellEnd"/>
      <w:r w:rsidRPr="00135407">
        <w:rPr>
          <w:rFonts w:ascii="Verdana" w:hAnsi="Verdana"/>
          <w:sz w:val="20"/>
          <w:szCs w:val="20"/>
          <w:lang w:val="nl-BE"/>
        </w:rPr>
        <w:t xml:space="preserve"> aan planbaten. Inmiddels werd hiervan 36,9 miljoen Euro geïnd.</w:t>
      </w:r>
    </w:p>
    <w:p w14:paraId="69BB4F4C" w14:textId="4DE696CF" w:rsidR="003B7CE2" w:rsidRPr="003B7CE2" w:rsidRDefault="003B7CE2" w:rsidP="00135407">
      <w:pPr>
        <w:ind w:left="360"/>
        <w:jc w:val="both"/>
        <w:rPr>
          <w:rFonts w:ascii="Verdana" w:hAnsi="Verdana"/>
          <w:sz w:val="20"/>
          <w:szCs w:val="20"/>
          <w:lang w:val="nl-BE"/>
        </w:rPr>
      </w:pPr>
      <w:proofErr w:type="spellStart"/>
      <w:r w:rsidRPr="003B7CE2">
        <w:rPr>
          <w:rFonts w:ascii="Verdana" w:hAnsi="Verdana"/>
          <w:sz w:val="20"/>
          <w:szCs w:val="20"/>
          <w:lang w:val="nl-BE"/>
        </w:rPr>
        <w:t>Inkohieringen</w:t>
      </w:r>
      <w:proofErr w:type="spellEnd"/>
      <w:r w:rsidRPr="003B7CE2">
        <w:rPr>
          <w:rFonts w:ascii="Verdana" w:hAnsi="Verdana"/>
          <w:sz w:val="20"/>
          <w:szCs w:val="20"/>
          <w:lang w:val="nl-BE"/>
        </w:rPr>
        <w:t xml:space="preserve"> van planbaten afkomstig van ruimtelijke uitvoeringsplannen die geheel of deels werden vernietigd door een arrest van de Raad van State en van dossiers die werden vrijgesteld van planbatenheffing</w:t>
      </w:r>
      <w:r w:rsidR="00B46313">
        <w:rPr>
          <w:rFonts w:ascii="Verdana" w:hAnsi="Verdana"/>
          <w:sz w:val="20"/>
          <w:szCs w:val="20"/>
          <w:lang w:val="nl-BE"/>
        </w:rPr>
        <w:t>,</w:t>
      </w:r>
      <w:r w:rsidRPr="003B7CE2">
        <w:rPr>
          <w:rFonts w:ascii="Verdana" w:hAnsi="Verdana"/>
          <w:sz w:val="20"/>
          <w:szCs w:val="20"/>
          <w:lang w:val="nl-BE"/>
        </w:rPr>
        <w:t xml:space="preserve"> werden niet</w:t>
      </w:r>
      <w:r w:rsidR="00B46313">
        <w:rPr>
          <w:rFonts w:ascii="Verdana" w:hAnsi="Verdana"/>
          <w:sz w:val="20"/>
          <w:szCs w:val="20"/>
          <w:lang w:val="nl-BE"/>
        </w:rPr>
        <w:t xml:space="preserve"> meegeteld in dit bedrag van 153</w:t>
      </w:r>
      <w:r w:rsidRPr="003B7CE2">
        <w:rPr>
          <w:rFonts w:ascii="Verdana" w:hAnsi="Verdana"/>
          <w:sz w:val="20"/>
          <w:szCs w:val="20"/>
          <w:lang w:val="nl-BE"/>
        </w:rPr>
        <w:t xml:space="preserve"> miljoen Euro.</w:t>
      </w:r>
    </w:p>
    <w:p w14:paraId="51DE0042" w14:textId="77777777" w:rsidR="003B7CE2" w:rsidRPr="003B7CE2" w:rsidRDefault="003B7CE2" w:rsidP="00135407">
      <w:pPr>
        <w:ind w:left="360"/>
        <w:jc w:val="both"/>
        <w:rPr>
          <w:rFonts w:ascii="Verdana" w:hAnsi="Verdana"/>
          <w:sz w:val="20"/>
          <w:szCs w:val="20"/>
          <w:lang w:val="nl-BE"/>
        </w:rPr>
      </w:pPr>
      <w:r w:rsidRPr="003B7CE2">
        <w:rPr>
          <w:rFonts w:ascii="Verdana" w:hAnsi="Verdana"/>
          <w:sz w:val="20"/>
          <w:szCs w:val="20"/>
          <w:lang w:val="nl-BE"/>
        </w:rPr>
        <w:t xml:space="preserve">In de tabel zitten ook nog gegevens van één gewestelijk RUP dat in 2016 (7 dossiers) werd </w:t>
      </w:r>
      <w:proofErr w:type="spellStart"/>
      <w:r w:rsidRPr="003B7CE2">
        <w:rPr>
          <w:rFonts w:ascii="Verdana" w:hAnsi="Verdana"/>
          <w:sz w:val="20"/>
          <w:szCs w:val="20"/>
          <w:lang w:val="nl-BE"/>
        </w:rPr>
        <w:t>ingekohierd</w:t>
      </w:r>
      <w:proofErr w:type="spellEnd"/>
      <w:r w:rsidRPr="003B7CE2">
        <w:rPr>
          <w:rFonts w:ascii="Verdana" w:hAnsi="Verdana"/>
          <w:sz w:val="20"/>
          <w:szCs w:val="20"/>
          <w:lang w:val="nl-BE"/>
        </w:rPr>
        <w:t xml:space="preserve"> voor een bedrag van 2 miljoen Euro. 1,1 miljoen hiervan werd voor dit RUP inmiddels geïnd.</w:t>
      </w:r>
    </w:p>
    <w:p w14:paraId="4CBCC229" w14:textId="77777777" w:rsidR="003B7CE2" w:rsidRPr="003B7CE2" w:rsidRDefault="003B7CE2" w:rsidP="003B7CE2">
      <w:pPr>
        <w:jc w:val="both"/>
        <w:rPr>
          <w:rFonts w:ascii="Verdana" w:hAnsi="Verdana"/>
          <w:sz w:val="20"/>
          <w:szCs w:val="20"/>
          <w:lang w:val="nl-BE"/>
        </w:rPr>
      </w:pPr>
    </w:p>
    <w:p w14:paraId="0071851A" w14:textId="77777777" w:rsidR="003B7CE2" w:rsidRDefault="003B7CE2" w:rsidP="00135407">
      <w:pPr>
        <w:ind w:left="360"/>
        <w:jc w:val="both"/>
        <w:rPr>
          <w:rFonts w:ascii="Verdana" w:hAnsi="Verdana"/>
          <w:sz w:val="20"/>
          <w:szCs w:val="20"/>
          <w:lang w:val="nl-BE"/>
        </w:rPr>
      </w:pPr>
      <w:r w:rsidRPr="003B7CE2">
        <w:rPr>
          <w:rFonts w:ascii="Verdana" w:hAnsi="Verdana"/>
          <w:sz w:val="20"/>
          <w:szCs w:val="20"/>
          <w:lang w:val="nl-BE"/>
        </w:rPr>
        <w:t>De tabel geeft de verdeling per provincie:</w:t>
      </w:r>
    </w:p>
    <w:p w14:paraId="1A465D66" w14:textId="77777777" w:rsidR="00135407" w:rsidRPr="003B7CE2" w:rsidRDefault="00135407" w:rsidP="00135407">
      <w:pPr>
        <w:ind w:left="360"/>
        <w:jc w:val="both"/>
        <w:rPr>
          <w:rFonts w:ascii="Verdana" w:hAnsi="Verdana"/>
          <w:sz w:val="20"/>
          <w:szCs w:val="20"/>
          <w:lang w:val="nl-BE"/>
        </w:rPr>
      </w:pPr>
    </w:p>
    <w:tbl>
      <w:tblPr>
        <w:tblW w:w="8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1978"/>
        <w:gridCol w:w="2552"/>
        <w:gridCol w:w="2409"/>
      </w:tblGrid>
      <w:tr w:rsidR="003B7CE2" w:rsidRPr="00E0726E" w14:paraId="2FFDD8C5" w14:textId="77777777" w:rsidTr="00803A08">
        <w:trPr>
          <w:trHeight w:val="306"/>
        </w:trPr>
        <w:tc>
          <w:tcPr>
            <w:tcW w:w="1843" w:type="dxa"/>
            <w:shd w:val="clear" w:color="auto" w:fill="BFBFBF" w:themeFill="background1" w:themeFillShade="BF"/>
            <w:noWrap/>
            <w:vAlign w:val="bottom"/>
            <w:hideMark/>
          </w:tcPr>
          <w:p w14:paraId="1E0BE0A2" w14:textId="77777777" w:rsidR="003B7CE2" w:rsidRPr="00E0726E" w:rsidRDefault="003B7CE2" w:rsidP="00803A08">
            <w:pPr>
              <w:spacing w:after="240"/>
              <w:jc w:val="both"/>
              <w:rPr>
                <w:lang w:val="nl-BE"/>
              </w:rPr>
            </w:pPr>
          </w:p>
        </w:tc>
        <w:tc>
          <w:tcPr>
            <w:tcW w:w="1978" w:type="dxa"/>
            <w:shd w:val="clear" w:color="auto" w:fill="BFBFBF" w:themeFill="background1" w:themeFillShade="BF"/>
          </w:tcPr>
          <w:p w14:paraId="48B56472" w14:textId="77777777" w:rsidR="003B7CE2" w:rsidRPr="00E0726E" w:rsidRDefault="003B7CE2" w:rsidP="00803A08">
            <w:pPr>
              <w:spacing w:after="240"/>
              <w:jc w:val="both"/>
              <w:rPr>
                <w:lang w:val="nl-BE"/>
              </w:rPr>
            </w:pPr>
            <w:r w:rsidRPr="00E0726E">
              <w:rPr>
                <w:lang w:val="nl-BE"/>
              </w:rPr>
              <w:t>aantal dossiers</w:t>
            </w:r>
          </w:p>
        </w:tc>
        <w:tc>
          <w:tcPr>
            <w:tcW w:w="2552" w:type="dxa"/>
            <w:shd w:val="clear" w:color="auto" w:fill="BFBFBF" w:themeFill="background1" w:themeFillShade="BF"/>
            <w:noWrap/>
            <w:vAlign w:val="bottom"/>
            <w:hideMark/>
          </w:tcPr>
          <w:p w14:paraId="71DB343A" w14:textId="77777777" w:rsidR="003B7CE2" w:rsidRPr="00E0726E" w:rsidRDefault="003B7CE2" w:rsidP="00803A08">
            <w:pPr>
              <w:spacing w:after="240"/>
              <w:jc w:val="both"/>
              <w:rPr>
                <w:lang w:val="nl-BE"/>
              </w:rPr>
            </w:pPr>
            <w:proofErr w:type="spellStart"/>
            <w:r w:rsidRPr="00E0726E">
              <w:rPr>
                <w:lang w:val="nl-BE"/>
              </w:rPr>
              <w:t>ingekohierd</w:t>
            </w:r>
            <w:proofErr w:type="spellEnd"/>
          </w:p>
        </w:tc>
        <w:tc>
          <w:tcPr>
            <w:tcW w:w="2409" w:type="dxa"/>
            <w:shd w:val="clear" w:color="auto" w:fill="BFBFBF" w:themeFill="background1" w:themeFillShade="BF"/>
            <w:noWrap/>
            <w:vAlign w:val="bottom"/>
            <w:hideMark/>
          </w:tcPr>
          <w:p w14:paraId="016F9042" w14:textId="77777777" w:rsidR="003B7CE2" w:rsidRPr="00E0726E" w:rsidRDefault="003B7CE2" w:rsidP="00803A08">
            <w:pPr>
              <w:spacing w:after="240"/>
              <w:jc w:val="both"/>
              <w:rPr>
                <w:lang w:val="nl-BE"/>
              </w:rPr>
            </w:pPr>
            <w:r w:rsidRPr="00E0726E">
              <w:rPr>
                <w:lang w:val="nl-BE"/>
              </w:rPr>
              <w:t>geïnd</w:t>
            </w:r>
          </w:p>
        </w:tc>
      </w:tr>
      <w:tr w:rsidR="003B7CE2" w:rsidRPr="00E0726E" w14:paraId="09567DCE" w14:textId="77777777" w:rsidTr="00803A08">
        <w:trPr>
          <w:trHeight w:val="300"/>
        </w:trPr>
        <w:tc>
          <w:tcPr>
            <w:tcW w:w="1843" w:type="dxa"/>
            <w:shd w:val="clear" w:color="auto" w:fill="auto"/>
            <w:noWrap/>
            <w:vAlign w:val="bottom"/>
            <w:hideMark/>
          </w:tcPr>
          <w:p w14:paraId="3871B82A" w14:textId="77777777" w:rsidR="003B7CE2" w:rsidRPr="00E0726E" w:rsidRDefault="003B7CE2" w:rsidP="00803A08">
            <w:pPr>
              <w:jc w:val="both"/>
              <w:rPr>
                <w:lang w:val="nl-BE"/>
              </w:rPr>
            </w:pPr>
            <w:r>
              <w:rPr>
                <w:lang w:val="nl-BE"/>
              </w:rPr>
              <w:t>Antwerpen</w:t>
            </w:r>
          </w:p>
        </w:tc>
        <w:tc>
          <w:tcPr>
            <w:tcW w:w="1978" w:type="dxa"/>
          </w:tcPr>
          <w:p w14:paraId="7DB2E3E1" w14:textId="77777777" w:rsidR="003B7CE2" w:rsidRPr="00E0726E" w:rsidRDefault="003B7CE2" w:rsidP="00803A08">
            <w:pPr>
              <w:jc w:val="both"/>
              <w:rPr>
                <w:lang w:val="nl-BE"/>
              </w:rPr>
            </w:pPr>
            <w:r w:rsidRPr="00E0726E">
              <w:rPr>
                <w:lang w:val="nl-BE"/>
              </w:rPr>
              <w:t>2.868</w:t>
            </w:r>
          </w:p>
        </w:tc>
        <w:tc>
          <w:tcPr>
            <w:tcW w:w="2552" w:type="dxa"/>
            <w:shd w:val="clear" w:color="auto" w:fill="auto"/>
            <w:noWrap/>
            <w:vAlign w:val="bottom"/>
            <w:hideMark/>
          </w:tcPr>
          <w:p w14:paraId="52DD354F" w14:textId="77777777" w:rsidR="003B7CE2" w:rsidRPr="00E0726E" w:rsidRDefault="003B7CE2" w:rsidP="00803A08">
            <w:pPr>
              <w:jc w:val="both"/>
              <w:rPr>
                <w:lang w:val="nl-BE"/>
              </w:rPr>
            </w:pPr>
            <w:r w:rsidRPr="00E0726E">
              <w:t>47.915.151,65</w:t>
            </w:r>
          </w:p>
        </w:tc>
        <w:tc>
          <w:tcPr>
            <w:tcW w:w="2409" w:type="dxa"/>
            <w:shd w:val="clear" w:color="auto" w:fill="auto"/>
            <w:noWrap/>
            <w:vAlign w:val="bottom"/>
            <w:hideMark/>
          </w:tcPr>
          <w:p w14:paraId="0B52FA3C" w14:textId="77777777" w:rsidR="003B7CE2" w:rsidRPr="00E0726E" w:rsidRDefault="003B7CE2" w:rsidP="00803A08">
            <w:pPr>
              <w:jc w:val="both"/>
              <w:rPr>
                <w:lang w:val="nl-BE"/>
              </w:rPr>
            </w:pPr>
            <w:r w:rsidRPr="00E0726E">
              <w:t>6.173.902,51</w:t>
            </w:r>
          </w:p>
        </w:tc>
      </w:tr>
      <w:tr w:rsidR="003B7CE2" w:rsidRPr="00E0726E" w14:paraId="6545D0A3" w14:textId="77777777" w:rsidTr="00803A08">
        <w:trPr>
          <w:trHeight w:val="300"/>
        </w:trPr>
        <w:tc>
          <w:tcPr>
            <w:tcW w:w="1843" w:type="dxa"/>
            <w:shd w:val="clear" w:color="auto" w:fill="auto"/>
            <w:noWrap/>
            <w:vAlign w:val="bottom"/>
            <w:hideMark/>
          </w:tcPr>
          <w:p w14:paraId="56250F8B" w14:textId="77777777" w:rsidR="003B7CE2" w:rsidRPr="00E0726E" w:rsidRDefault="003B7CE2" w:rsidP="00803A08">
            <w:pPr>
              <w:jc w:val="both"/>
              <w:rPr>
                <w:lang w:val="nl-BE"/>
              </w:rPr>
            </w:pPr>
            <w:r>
              <w:rPr>
                <w:lang w:val="nl-BE"/>
              </w:rPr>
              <w:t>Limburg</w:t>
            </w:r>
          </w:p>
        </w:tc>
        <w:tc>
          <w:tcPr>
            <w:tcW w:w="1978" w:type="dxa"/>
          </w:tcPr>
          <w:p w14:paraId="66D21AD0" w14:textId="77777777" w:rsidR="003B7CE2" w:rsidRPr="00E0726E" w:rsidRDefault="003B7CE2" w:rsidP="00803A08">
            <w:pPr>
              <w:jc w:val="both"/>
              <w:rPr>
                <w:lang w:val="nl-BE"/>
              </w:rPr>
            </w:pPr>
            <w:r w:rsidRPr="00E0726E">
              <w:rPr>
                <w:lang w:val="nl-BE"/>
              </w:rPr>
              <w:t>1.165</w:t>
            </w:r>
          </w:p>
        </w:tc>
        <w:tc>
          <w:tcPr>
            <w:tcW w:w="2552" w:type="dxa"/>
            <w:shd w:val="clear" w:color="auto" w:fill="auto"/>
            <w:noWrap/>
            <w:vAlign w:val="bottom"/>
            <w:hideMark/>
          </w:tcPr>
          <w:p w14:paraId="255B9D2B" w14:textId="77777777" w:rsidR="003B7CE2" w:rsidRPr="00E0726E" w:rsidRDefault="003B7CE2" w:rsidP="00803A08">
            <w:pPr>
              <w:jc w:val="both"/>
              <w:rPr>
                <w:lang w:val="nl-BE"/>
              </w:rPr>
            </w:pPr>
            <w:r w:rsidRPr="00E0726E">
              <w:t>16.680.122,77</w:t>
            </w:r>
          </w:p>
        </w:tc>
        <w:tc>
          <w:tcPr>
            <w:tcW w:w="2409" w:type="dxa"/>
            <w:shd w:val="clear" w:color="auto" w:fill="auto"/>
            <w:noWrap/>
            <w:vAlign w:val="bottom"/>
            <w:hideMark/>
          </w:tcPr>
          <w:p w14:paraId="46A93AE9" w14:textId="77777777" w:rsidR="003B7CE2" w:rsidRPr="00E0726E" w:rsidRDefault="003B7CE2" w:rsidP="00803A08">
            <w:pPr>
              <w:jc w:val="both"/>
              <w:rPr>
                <w:lang w:val="nl-BE"/>
              </w:rPr>
            </w:pPr>
            <w:r w:rsidRPr="00E0726E">
              <w:t>3.031.007,7</w:t>
            </w:r>
          </w:p>
        </w:tc>
      </w:tr>
      <w:tr w:rsidR="003B7CE2" w:rsidRPr="00E0726E" w14:paraId="1DA6332D" w14:textId="77777777" w:rsidTr="00803A08">
        <w:trPr>
          <w:trHeight w:val="300"/>
        </w:trPr>
        <w:tc>
          <w:tcPr>
            <w:tcW w:w="1843" w:type="dxa"/>
            <w:shd w:val="clear" w:color="auto" w:fill="auto"/>
            <w:noWrap/>
            <w:vAlign w:val="bottom"/>
            <w:hideMark/>
          </w:tcPr>
          <w:p w14:paraId="4261EECE" w14:textId="77777777" w:rsidR="003B7CE2" w:rsidRPr="00E0726E" w:rsidRDefault="003B7CE2" w:rsidP="00803A08">
            <w:pPr>
              <w:jc w:val="both"/>
              <w:rPr>
                <w:lang w:val="nl-BE"/>
              </w:rPr>
            </w:pPr>
            <w:r>
              <w:rPr>
                <w:lang w:val="nl-BE"/>
              </w:rPr>
              <w:t>Oost-Vlaanderen</w:t>
            </w:r>
          </w:p>
        </w:tc>
        <w:tc>
          <w:tcPr>
            <w:tcW w:w="1978" w:type="dxa"/>
          </w:tcPr>
          <w:p w14:paraId="42133CC3" w14:textId="77777777" w:rsidR="003B7CE2" w:rsidRPr="00E0726E" w:rsidRDefault="003B7CE2" w:rsidP="00803A08">
            <w:pPr>
              <w:jc w:val="both"/>
              <w:rPr>
                <w:lang w:val="nl-BE"/>
              </w:rPr>
            </w:pPr>
            <w:r w:rsidRPr="00E0726E">
              <w:rPr>
                <w:lang w:val="nl-BE"/>
              </w:rPr>
              <w:t>749</w:t>
            </w:r>
          </w:p>
        </w:tc>
        <w:tc>
          <w:tcPr>
            <w:tcW w:w="2552" w:type="dxa"/>
            <w:shd w:val="clear" w:color="auto" w:fill="auto"/>
            <w:noWrap/>
            <w:vAlign w:val="bottom"/>
            <w:hideMark/>
          </w:tcPr>
          <w:p w14:paraId="770EDC34" w14:textId="77777777" w:rsidR="003B7CE2" w:rsidRPr="00E0726E" w:rsidRDefault="003B7CE2" w:rsidP="00803A08">
            <w:pPr>
              <w:jc w:val="both"/>
              <w:rPr>
                <w:lang w:val="nl-BE"/>
              </w:rPr>
            </w:pPr>
            <w:r w:rsidRPr="00E0726E">
              <w:t>14.850.141,88</w:t>
            </w:r>
          </w:p>
        </w:tc>
        <w:tc>
          <w:tcPr>
            <w:tcW w:w="2409" w:type="dxa"/>
            <w:shd w:val="clear" w:color="auto" w:fill="auto"/>
            <w:noWrap/>
            <w:vAlign w:val="bottom"/>
            <w:hideMark/>
          </w:tcPr>
          <w:p w14:paraId="1022AF27" w14:textId="77777777" w:rsidR="003B7CE2" w:rsidRPr="00E0726E" w:rsidRDefault="003B7CE2" w:rsidP="00803A08">
            <w:pPr>
              <w:jc w:val="both"/>
              <w:rPr>
                <w:lang w:val="nl-BE"/>
              </w:rPr>
            </w:pPr>
            <w:r w:rsidRPr="00E0726E">
              <w:t>2.449.522,58</w:t>
            </w:r>
          </w:p>
        </w:tc>
      </w:tr>
      <w:tr w:rsidR="003B7CE2" w:rsidRPr="00E0726E" w14:paraId="05411C21" w14:textId="77777777" w:rsidTr="00803A08">
        <w:trPr>
          <w:trHeight w:val="300"/>
        </w:trPr>
        <w:tc>
          <w:tcPr>
            <w:tcW w:w="1843" w:type="dxa"/>
            <w:shd w:val="clear" w:color="auto" w:fill="auto"/>
            <w:noWrap/>
            <w:vAlign w:val="bottom"/>
            <w:hideMark/>
          </w:tcPr>
          <w:p w14:paraId="0C060E2E" w14:textId="77777777" w:rsidR="003B7CE2" w:rsidRPr="00E0726E" w:rsidRDefault="003B7CE2" w:rsidP="00803A08">
            <w:pPr>
              <w:jc w:val="both"/>
              <w:rPr>
                <w:lang w:val="nl-BE"/>
              </w:rPr>
            </w:pPr>
            <w:r>
              <w:rPr>
                <w:lang w:val="nl-BE"/>
              </w:rPr>
              <w:t>Vlaams-Brabant</w:t>
            </w:r>
          </w:p>
        </w:tc>
        <w:tc>
          <w:tcPr>
            <w:tcW w:w="1978" w:type="dxa"/>
          </w:tcPr>
          <w:p w14:paraId="5F5AC377" w14:textId="77777777" w:rsidR="003B7CE2" w:rsidRPr="00E0726E" w:rsidRDefault="003B7CE2" w:rsidP="00803A08">
            <w:pPr>
              <w:jc w:val="both"/>
              <w:rPr>
                <w:lang w:val="nl-BE"/>
              </w:rPr>
            </w:pPr>
            <w:r w:rsidRPr="00E0726E">
              <w:rPr>
                <w:lang w:val="nl-BE"/>
              </w:rPr>
              <w:t>1.782</w:t>
            </w:r>
          </w:p>
        </w:tc>
        <w:tc>
          <w:tcPr>
            <w:tcW w:w="2552" w:type="dxa"/>
            <w:shd w:val="clear" w:color="auto" w:fill="auto"/>
            <w:noWrap/>
            <w:vAlign w:val="bottom"/>
            <w:hideMark/>
          </w:tcPr>
          <w:p w14:paraId="38099462" w14:textId="77777777" w:rsidR="003B7CE2" w:rsidRPr="00E0726E" w:rsidRDefault="003B7CE2" w:rsidP="00803A08">
            <w:pPr>
              <w:jc w:val="both"/>
              <w:rPr>
                <w:lang w:val="nl-BE"/>
              </w:rPr>
            </w:pPr>
            <w:r w:rsidRPr="00E0726E">
              <w:t>34.046.487,74</w:t>
            </w:r>
          </w:p>
        </w:tc>
        <w:tc>
          <w:tcPr>
            <w:tcW w:w="2409" w:type="dxa"/>
            <w:shd w:val="clear" w:color="auto" w:fill="auto"/>
            <w:noWrap/>
            <w:vAlign w:val="bottom"/>
            <w:hideMark/>
          </w:tcPr>
          <w:p w14:paraId="628E3982" w14:textId="77777777" w:rsidR="003B7CE2" w:rsidRPr="00E0726E" w:rsidRDefault="003B7CE2" w:rsidP="00803A08">
            <w:pPr>
              <w:jc w:val="both"/>
              <w:rPr>
                <w:lang w:val="nl-BE"/>
              </w:rPr>
            </w:pPr>
            <w:r w:rsidRPr="00E0726E">
              <w:t>9.174.037,22</w:t>
            </w:r>
          </w:p>
        </w:tc>
      </w:tr>
      <w:tr w:rsidR="003B7CE2" w:rsidRPr="00E0726E" w14:paraId="4EC9BF32" w14:textId="77777777" w:rsidTr="00803A08">
        <w:trPr>
          <w:trHeight w:val="300"/>
        </w:trPr>
        <w:tc>
          <w:tcPr>
            <w:tcW w:w="1843" w:type="dxa"/>
            <w:shd w:val="clear" w:color="auto" w:fill="auto"/>
            <w:noWrap/>
            <w:vAlign w:val="bottom"/>
            <w:hideMark/>
          </w:tcPr>
          <w:p w14:paraId="2DE0C0AE" w14:textId="77777777" w:rsidR="003B7CE2" w:rsidRPr="00E0726E" w:rsidRDefault="003B7CE2" w:rsidP="00803A08">
            <w:pPr>
              <w:jc w:val="both"/>
              <w:rPr>
                <w:lang w:val="nl-BE"/>
              </w:rPr>
            </w:pPr>
            <w:r>
              <w:rPr>
                <w:lang w:val="nl-BE"/>
              </w:rPr>
              <w:t>West-Vlaanderen</w:t>
            </w:r>
          </w:p>
        </w:tc>
        <w:tc>
          <w:tcPr>
            <w:tcW w:w="1978" w:type="dxa"/>
          </w:tcPr>
          <w:p w14:paraId="224CB0E0" w14:textId="77777777" w:rsidR="003B7CE2" w:rsidRPr="00E0726E" w:rsidRDefault="003B7CE2" w:rsidP="00803A08">
            <w:pPr>
              <w:jc w:val="both"/>
              <w:rPr>
                <w:lang w:val="nl-BE"/>
              </w:rPr>
            </w:pPr>
            <w:r w:rsidRPr="00E0726E">
              <w:rPr>
                <w:lang w:val="nl-BE"/>
              </w:rPr>
              <w:t>1.145</w:t>
            </w:r>
          </w:p>
        </w:tc>
        <w:tc>
          <w:tcPr>
            <w:tcW w:w="2552" w:type="dxa"/>
            <w:shd w:val="clear" w:color="auto" w:fill="auto"/>
            <w:noWrap/>
            <w:vAlign w:val="bottom"/>
            <w:hideMark/>
          </w:tcPr>
          <w:p w14:paraId="732A36CC" w14:textId="77777777" w:rsidR="003B7CE2" w:rsidRPr="00E0726E" w:rsidRDefault="003B7CE2" w:rsidP="00803A08">
            <w:pPr>
              <w:jc w:val="both"/>
              <w:rPr>
                <w:lang w:val="nl-BE"/>
              </w:rPr>
            </w:pPr>
            <w:r w:rsidRPr="00E0726E">
              <w:t>39.816.719,74</w:t>
            </w:r>
          </w:p>
        </w:tc>
        <w:tc>
          <w:tcPr>
            <w:tcW w:w="2409" w:type="dxa"/>
            <w:shd w:val="clear" w:color="auto" w:fill="auto"/>
            <w:noWrap/>
            <w:vAlign w:val="bottom"/>
            <w:hideMark/>
          </w:tcPr>
          <w:p w14:paraId="35851D81" w14:textId="77777777" w:rsidR="003B7CE2" w:rsidRPr="00E0726E" w:rsidRDefault="003B7CE2" w:rsidP="00803A08">
            <w:pPr>
              <w:jc w:val="both"/>
              <w:rPr>
                <w:lang w:val="nl-BE"/>
              </w:rPr>
            </w:pPr>
            <w:r w:rsidRPr="00E0726E">
              <w:t>16.107.882,3</w:t>
            </w:r>
          </w:p>
        </w:tc>
      </w:tr>
      <w:tr w:rsidR="003B7CE2" w:rsidRPr="00E0726E" w14:paraId="494D594A" w14:textId="77777777" w:rsidTr="00803A08">
        <w:trPr>
          <w:trHeight w:val="300"/>
        </w:trPr>
        <w:tc>
          <w:tcPr>
            <w:tcW w:w="1843" w:type="dxa"/>
            <w:shd w:val="clear" w:color="auto" w:fill="BFBFBF" w:themeFill="background1" w:themeFillShade="BF"/>
            <w:noWrap/>
            <w:vAlign w:val="bottom"/>
            <w:hideMark/>
          </w:tcPr>
          <w:p w14:paraId="2CB8B922" w14:textId="77777777" w:rsidR="003B7CE2" w:rsidRPr="00E0726E" w:rsidRDefault="003B7CE2" w:rsidP="00803A08">
            <w:pPr>
              <w:jc w:val="both"/>
              <w:rPr>
                <w:lang w:val="nl-BE"/>
              </w:rPr>
            </w:pPr>
            <w:r w:rsidRPr="00E0726E">
              <w:rPr>
                <w:lang w:val="nl-BE"/>
              </w:rPr>
              <w:t>Totaal</w:t>
            </w:r>
          </w:p>
        </w:tc>
        <w:tc>
          <w:tcPr>
            <w:tcW w:w="1978" w:type="dxa"/>
            <w:shd w:val="clear" w:color="auto" w:fill="BFBFBF" w:themeFill="background1" w:themeFillShade="BF"/>
          </w:tcPr>
          <w:p w14:paraId="45A30A45" w14:textId="77777777" w:rsidR="003B7CE2" w:rsidRPr="00E0726E" w:rsidRDefault="003B7CE2" w:rsidP="00803A08">
            <w:pPr>
              <w:jc w:val="both"/>
              <w:rPr>
                <w:lang w:val="nl-BE"/>
              </w:rPr>
            </w:pPr>
            <w:r w:rsidRPr="00E0726E">
              <w:rPr>
                <w:lang w:val="nl-BE"/>
              </w:rPr>
              <w:t>7.709</w:t>
            </w:r>
          </w:p>
        </w:tc>
        <w:tc>
          <w:tcPr>
            <w:tcW w:w="2552" w:type="dxa"/>
            <w:shd w:val="clear" w:color="auto" w:fill="BFBFBF" w:themeFill="background1" w:themeFillShade="BF"/>
            <w:noWrap/>
            <w:vAlign w:val="bottom"/>
            <w:hideMark/>
          </w:tcPr>
          <w:p w14:paraId="1ACDC665" w14:textId="77777777" w:rsidR="003B7CE2" w:rsidRPr="00E0726E" w:rsidRDefault="003B7CE2" w:rsidP="00803A08">
            <w:pPr>
              <w:jc w:val="both"/>
              <w:rPr>
                <w:lang w:val="nl-BE"/>
              </w:rPr>
            </w:pPr>
            <w:r w:rsidRPr="00E0726E">
              <w:rPr>
                <w:bCs/>
              </w:rPr>
              <w:t>153.308.623,8</w:t>
            </w:r>
          </w:p>
        </w:tc>
        <w:tc>
          <w:tcPr>
            <w:tcW w:w="2409" w:type="dxa"/>
            <w:shd w:val="clear" w:color="auto" w:fill="BFBFBF" w:themeFill="background1" w:themeFillShade="BF"/>
            <w:noWrap/>
            <w:vAlign w:val="bottom"/>
            <w:hideMark/>
          </w:tcPr>
          <w:p w14:paraId="6340D58C" w14:textId="77777777" w:rsidR="003B7CE2" w:rsidRPr="00E0726E" w:rsidRDefault="003B7CE2" w:rsidP="00803A08">
            <w:pPr>
              <w:jc w:val="both"/>
              <w:rPr>
                <w:lang w:val="nl-BE"/>
              </w:rPr>
            </w:pPr>
            <w:r w:rsidRPr="00E0726E">
              <w:rPr>
                <w:bCs/>
              </w:rPr>
              <w:t>36.936.352,31</w:t>
            </w:r>
          </w:p>
        </w:tc>
      </w:tr>
    </w:tbl>
    <w:p w14:paraId="104C577C" w14:textId="77777777" w:rsidR="003B7CE2" w:rsidRPr="00135407" w:rsidRDefault="003B7CE2" w:rsidP="003B7CE2">
      <w:pPr>
        <w:jc w:val="both"/>
        <w:rPr>
          <w:rFonts w:ascii="Verdana" w:hAnsi="Verdana"/>
          <w:sz w:val="20"/>
          <w:szCs w:val="20"/>
          <w:lang w:val="nl-BE"/>
        </w:rPr>
      </w:pPr>
    </w:p>
    <w:p w14:paraId="5BC4F069" w14:textId="2784DC87" w:rsidR="003B7CE2" w:rsidRPr="00135407" w:rsidRDefault="003B7CE2" w:rsidP="00135407">
      <w:pPr>
        <w:pStyle w:val="Lijstalinea"/>
        <w:numPr>
          <w:ilvl w:val="0"/>
          <w:numId w:val="7"/>
        </w:numPr>
        <w:jc w:val="both"/>
        <w:rPr>
          <w:rFonts w:ascii="Verdana" w:hAnsi="Verdana"/>
          <w:sz w:val="20"/>
          <w:szCs w:val="20"/>
          <w:lang w:val="nl-BE"/>
        </w:rPr>
      </w:pPr>
      <w:r w:rsidRPr="00135407">
        <w:rPr>
          <w:rFonts w:ascii="Verdana" w:hAnsi="Verdana"/>
          <w:sz w:val="20"/>
          <w:szCs w:val="20"/>
          <w:lang w:val="nl-BE"/>
        </w:rPr>
        <w:t xml:space="preserve">Aangezien </w:t>
      </w:r>
      <w:proofErr w:type="spellStart"/>
      <w:r w:rsidRPr="00135407">
        <w:rPr>
          <w:rFonts w:ascii="Verdana" w:hAnsi="Verdana"/>
          <w:sz w:val="20"/>
          <w:szCs w:val="20"/>
          <w:lang w:val="nl-BE"/>
        </w:rPr>
        <w:t>inkohiering</w:t>
      </w:r>
      <w:proofErr w:type="spellEnd"/>
      <w:r w:rsidRPr="00135407">
        <w:rPr>
          <w:rFonts w:ascii="Verdana" w:hAnsi="Verdana"/>
          <w:sz w:val="20"/>
          <w:szCs w:val="20"/>
          <w:lang w:val="nl-BE"/>
        </w:rPr>
        <w:t xml:space="preserve"> per perceel gebeurt en per kohier een dossier wordt opgemaakt komt het aantal percelen exact overeen met het aantal dossiers. Voor 2016 zijn er tot nu toe 7 dossiers (voor 7 percelen) met planbatenheffing afkomstig van één gewestelijk RUP in de provincie Limburg.</w:t>
      </w:r>
    </w:p>
    <w:p w14:paraId="2D47C71C" w14:textId="1D1BF87F" w:rsidR="003B7CE2" w:rsidRPr="003B7CE2" w:rsidRDefault="003B7CE2" w:rsidP="00135407">
      <w:pPr>
        <w:ind w:left="360"/>
        <w:jc w:val="both"/>
        <w:rPr>
          <w:rFonts w:ascii="Verdana" w:hAnsi="Verdana"/>
          <w:sz w:val="20"/>
          <w:szCs w:val="20"/>
          <w:lang w:val="nl-BE"/>
        </w:rPr>
      </w:pPr>
      <w:r w:rsidRPr="003B7CE2">
        <w:rPr>
          <w:rFonts w:ascii="Verdana" w:hAnsi="Verdana"/>
          <w:sz w:val="20"/>
          <w:szCs w:val="20"/>
          <w:lang w:val="nl-BE"/>
        </w:rPr>
        <w:t xml:space="preserve">De reden van dit lage aantal is dat voor de </w:t>
      </w:r>
      <w:proofErr w:type="spellStart"/>
      <w:r w:rsidRPr="003B7CE2">
        <w:rPr>
          <w:rFonts w:ascii="Verdana" w:hAnsi="Verdana"/>
          <w:sz w:val="20"/>
          <w:szCs w:val="20"/>
          <w:lang w:val="nl-BE"/>
        </w:rPr>
        <w:t>RUPs</w:t>
      </w:r>
      <w:proofErr w:type="spellEnd"/>
      <w:r w:rsidRPr="003B7CE2">
        <w:rPr>
          <w:rFonts w:ascii="Verdana" w:hAnsi="Verdana"/>
          <w:sz w:val="20"/>
          <w:szCs w:val="20"/>
          <w:lang w:val="nl-BE"/>
        </w:rPr>
        <w:t xml:space="preserve"> uit 2016 de </w:t>
      </w:r>
      <w:proofErr w:type="spellStart"/>
      <w:r w:rsidRPr="003B7CE2">
        <w:rPr>
          <w:rFonts w:ascii="Verdana" w:hAnsi="Verdana"/>
          <w:sz w:val="20"/>
          <w:szCs w:val="20"/>
          <w:lang w:val="nl-BE"/>
        </w:rPr>
        <w:t>planopmakende</w:t>
      </w:r>
      <w:proofErr w:type="spellEnd"/>
      <w:r w:rsidRPr="003B7CE2">
        <w:rPr>
          <w:rFonts w:ascii="Verdana" w:hAnsi="Verdana"/>
          <w:sz w:val="20"/>
          <w:szCs w:val="20"/>
          <w:lang w:val="nl-BE"/>
        </w:rPr>
        <w:t xml:space="preserve"> overheden nog tijd tot eind 2017 hebben voor het doorgeven van de nodige informatie aan de Vlaamse Belastingdienst. Artikel 2.6.13. van de </w:t>
      </w:r>
      <w:hyperlink r:id="rId10" w:history="1">
        <w:r w:rsidRPr="003B7CE2">
          <w:rPr>
            <w:rStyle w:val="Hyperlink"/>
            <w:rFonts w:ascii="Verdana" w:hAnsi="Verdana"/>
            <w:sz w:val="20"/>
            <w:szCs w:val="20"/>
            <w:lang w:val="nl-BE"/>
          </w:rPr>
          <w:t>Vlaamse Codex Ruimtelijke Ordening</w:t>
        </w:r>
      </w:hyperlink>
      <w:r w:rsidRPr="003B7CE2">
        <w:rPr>
          <w:rFonts w:ascii="Verdana" w:hAnsi="Verdana"/>
          <w:sz w:val="20"/>
          <w:szCs w:val="20"/>
          <w:lang w:val="nl-BE"/>
        </w:rPr>
        <w:t xml:space="preserve"> stelt immers dat de kohieren uitvoerbaar worden verklaard, uiterlijk op 31 december van het jaar, volgend op de inwerkingtreding van het plan dat de planbaten veroorzaakt.</w:t>
      </w:r>
    </w:p>
    <w:p w14:paraId="797E4017" w14:textId="77777777" w:rsidR="003B7CE2" w:rsidRPr="003B7CE2" w:rsidRDefault="003B7CE2" w:rsidP="003B7CE2">
      <w:pPr>
        <w:jc w:val="both"/>
        <w:rPr>
          <w:rFonts w:ascii="Verdana" w:hAnsi="Verdana"/>
          <w:sz w:val="20"/>
          <w:szCs w:val="20"/>
          <w:lang w:val="nl-BE"/>
        </w:rPr>
      </w:pPr>
    </w:p>
    <w:p w14:paraId="7B6DAC8F" w14:textId="2C7EEFE6" w:rsidR="003B7CE2" w:rsidRPr="00135407" w:rsidRDefault="003B7CE2" w:rsidP="00135407">
      <w:pPr>
        <w:pStyle w:val="Lijstalinea"/>
        <w:numPr>
          <w:ilvl w:val="0"/>
          <w:numId w:val="7"/>
        </w:numPr>
        <w:jc w:val="both"/>
        <w:rPr>
          <w:rFonts w:ascii="Verdana" w:hAnsi="Verdana"/>
          <w:sz w:val="20"/>
          <w:szCs w:val="20"/>
          <w:lang w:val="nl-BE"/>
        </w:rPr>
      </w:pPr>
      <w:r w:rsidRPr="00135407">
        <w:rPr>
          <w:rFonts w:ascii="Verdana" w:hAnsi="Verdana"/>
          <w:sz w:val="20"/>
          <w:szCs w:val="20"/>
          <w:lang w:val="nl-BE"/>
        </w:rPr>
        <w:t xml:space="preserve">In mijn antwoord vindt u zowel cijfers (situatie april 2017) voor het oorspronkelijke gewestelijk ruimtelijk uitvoeringsplan ‘Afbakening van het VSGB en aansluitende open ruimtegebieden’ als voor 2 gewestelijke </w:t>
      </w:r>
      <w:proofErr w:type="spellStart"/>
      <w:r w:rsidRPr="00135407">
        <w:rPr>
          <w:rFonts w:ascii="Verdana" w:hAnsi="Verdana"/>
          <w:sz w:val="20"/>
          <w:szCs w:val="20"/>
          <w:lang w:val="nl-BE"/>
        </w:rPr>
        <w:t>RUPs</w:t>
      </w:r>
      <w:proofErr w:type="spellEnd"/>
      <w:r w:rsidRPr="00135407">
        <w:rPr>
          <w:rFonts w:ascii="Verdana" w:hAnsi="Verdana"/>
          <w:sz w:val="20"/>
          <w:szCs w:val="20"/>
          <w:lang w:val="nl-BE"/>
        </w:rPr>
        <w:t xml:space="preserve"> die intussen werden goedgekeurd ter vervanging van een aantal door de Raad van State vernietigde delen van het oorspronkelijke RUP:</w:t>
      </w:r>
    </w:p>
    <w:p w14:paraId="3981F40B" w14:textId="77777777" w:rsidR="003B7CE2" w:rsidRPr="003B7CE2" w:rsidRDefault="003B7CE2" w:rsidP="003B7CE2">
      <w:pPr>
        <w:jc w:val="both"/>
        <w:rPr>
          <w:rFonts w:ascii="Verdana" w:hAnsi="Verdana"/>
          <w:sz w:val="20"/>
          <w:szCs w:val="20"/>
          <w:lang w:val="nl-BE"/>
        </w:rPr>
      </w:pPr>
    </w:p>
    <w:p w14:paraId="497C1AD8" w14:textId="77777777" w:rsidR="003B7CE2" w:rsidRPr="003B7CE2" w:rsidRDefault="003B7CE2" w:rsidP="003B7CE2">
      <w:pPr>
        <w:numPr>
          <w:ilvl w:val="0"/>
          <w:numId w:val="6"/>
        </w:numPr>
        <w:jc w:val="both"/>
        <w:rPr>
          <w:rFonts w:ascii="Verdana" w:hAnsi="Verdana"/>
          <w:sz w:val="20"/>
          <w:szCs w:val="20"/>
          <w:lang w:val="nl-BE"/>
        </w:rPr>
      </w:pPr>
      <w:r w:rsidRPr="003B7CE2">
        <w:rPr>
          <w:rFonts w:ascii="Verdana" w:hAnsi="Verdana"/>
          <w:sz w:val="20"/>
          <w:szCs w:val="20"/>
          <w:lang w:val="nl-BE"/>
        </w:rPr>
        <w:t>Voor de planbaten afkomstig van het gewestelijk RUP ‘Afbakening van het VSGB en aansluitende open ruimtegebieden’ (publicatie in Belgisch Staatsblad op 02/02/2012) werden in totaal 900 kohieren opgemaakt. 597 van deze kohieren of dossiers werden inmiddels als volledige onwaarde geboekt, meestal als gevolg van een vernietigingsarrest door de Raad van State. Zodoende staan van dit RUP nog 303 kohieren open op een totaal van 7.709 (3,94%).</w:t>
      </w:r>
    </w:p>
    <w:p w14:paraId="391EA9EF" w14:textId="77777777" w:rsidR="003B7CE2" w:rsidRPr="003B7CE2" w:rsidRDefault="003B7CE2" w:rsidP="003B7CE2">
      <w:pPr>
        <w:ind w:left="360"/>
        <w:jc w:val="both"/>
        <w:rPr>
          <w:rFonts w:ascii="Verdana" w:hAnsi="Verdana"/>
          <w:sz w:val="20"/>
          <w:szCs w:val="20"/>
          <w:lang w:val="nl-BE"/>
        </w:rPr>
      </w:pPr>
    </w:p>
    <w:p w14:paraId="686A0B04" w14:textId="77777777" w:rsidR="003B7CE2" w:rsidRPr="003B7CE2" w:rsidRDefault="003B7CE2" w:rsidP="00135407">
      <w:pPr>
        <w:ind w:left="708"/>
        <w:jc w:val="both"/>
        <w:rPr>
          <w:rFonts w:ascii="Verdana" w:hAnsi="Verdana"/>
          <w:sz w:val="20"/>
          <w:szCs w:val="20"/>
          <w:lang w:val="nl-BE"/>
        </w:rPr>
      </w:pPr>
      <w:r w:rsidRPr="003B7CE2">
        <w:rPr>
          <w:rFonts w:ascii="Verdana" w:hAnsi="Verdana"/>
          <w:sz w:val="20"/>
          <w:szCs w:val="20"/>
          <w:lang w:val="nl-BE"/>
        </w:rPr>
        <w:t xml:space="preserve">Inmiddels werd een deel van dit RUP hernomen. Van 2 vervangende </w:t>
      </w:r>
      <w:proofErr w:type="spellStart"/>
      <w:r w:rsidRPr="003B7CE2">
        <w:rPr>
          <w:rFonts w:ascii="Verdana" w:hAnsi="Verdana"/>
          <w:sz w:val="20"/>
          <w:szCs w:val="20"/>
          <w:lang w:val="nl-BE"/>
        </w:rPr>
        <w:t>RUPs</w:t>
      </w:r>
      <w:proofErr w:type="spellEnd"/>
      <w:r w:rsidRPr="003B7CE2">
        <w:rPr>
          <w:rFonts w:ascii="Verdana" w:hAnsi="Verdana"/>
          <w:sz w:val="20"/>
          <w:szCs w:val="20"/>
          <w:lang w:val="nl-BE"/>
        </w:rPr>
        <w:t xml:space="preserve"> werden inmiddels ook de planbaten </w:t>
      </w:r>
      <w:proofErr w:type="spellStart"/>
      <w:r w:rsidRPr="003B7CE2">
        <w:rPr>
          <w:rFonts w:ascii="Verdana" w:hAnsi="Verdana"/>
          <w:sz w:val="20"/>
          <w:szCs w:val="20"/>
          <w:lang w:val="nl-BE"/>
        </w:rPr>
        <w:t>ingekohierd</w:t>
      </w:r>
      <w:proofErr w:type="spellEnd"/>
      <w:r w:rsidRPr="003B7CE2">
        <w:rPr>
          <w:rFonts w:ascii="Verdana" w:hAnsi="Verdana"/>
          <w:sz w:val="20"/>
          <w:szCs w:val="20"/>
          <w:lang w:val="nl-BE"/>
        </w:rPr>
        <w:t>. De kohieren die als volledige onwaarde werden geboekt worden niet meegenomen in onderstaande cijfers:</w:t>
      </w:r>
    </w:p>
    <w:p w14:paraId="47358673" w14:textId="77777777" w:rsidR="003B7CE2" w:rsidRPr="003B7CE2" w:rsidRDefault="003B7CE2" w:rsidP="003B7CE2">
      <w:pPr>
        <w:jc w:val="both"/>
        <w:rPr>
          <w:rFonts w:ascii="Verdana" w:hAnsi="Verdana"/>
          <w:sz w:val="20"/>
          <w:szCs w:val="20"/>
          <w:lang w:val="nl-BE"/>
        </w:rPr>
      </w:pPr>
    </w:p>
    <w:p w14:paraId="6B73B620" w14:textId="77777777" w:rsidR="003B7CE2" w:rsidRPr="00135407" w:rsidRDefault="003B7CE2" w:rsidP="003B7CE2">
      <w:pPr>
        <w:numPr>
          <w:ilvl w:val="0"/>
          <w:numId w:val="5"/>
        </w:numPr>
        <w:jc w:val="both"/>
        <w:rPr>
          <w:rFonts w:ascii="Verdana" w:hAnsi="Verdana"/>
          <w:sz w:val="20"/>
          <w:szCs w:val="20"/>
          <w:lang w:val="nl-BE"/>
        </w:rPr>
      </w:pPr>
      <w:r w:rsidRPr="003B7CE2">
        <w:rPr>
          <w:rFonts w:ascii="Verdana" w:hAnsi="Verdana"/>
          <w:sz w:val="20"/>
          <w:szCs w:val="20"/>
          <w:lang w:val="nl-BE"/>
        </w:rPr>
        <w:t>79 (1% van het totaal) dossiers zijn afkomstig van het gewestelijk RUP ‘</w:t>
      </w:r>
      <w:r w:rsidRPr="003B7CE2">
        <w:rPr>
          <w:rFonts w:ascii="Verdana" w:hAnsi="Verdana"/>
          <w:sz w:val="20"/>
          <w:szCs w:val="20"/>
        </w:rPr>
        <w:t xml:space="preserve">Afbakening van het Vlaams Strategisch Gebied rond Brussel en aansluitende open ruimtegebieden - cluster A3 </w:t>
      </w:r>
      <w:proofErr w:type="spellStart"/>
      <w:r w:rsidRPr="003B7CE2">
        <w:rPr>
          <w:rFonts w:ascii="Verdana" w:hAnsi="Verdana"/>
          <w:sz w:val="20"/>
          <w:szCs w:val="20"/>
        </w:rPr>
        <w:t>Bergensesteenweg</w:t>
      </w:r>
      <w:proofErr w:type="spellEnd"/>
      <w:r w:rsidRPr="003B7CE2">
        <w:rPr>
          <w:rFonts w:ascii="Verdana" w:hAnsi="Verdana"/>
          <w:sz w:val="20"/>
          <w:szCs w:val="20"/>
        </w:rPr>
        <w:t xml:space="preserve"> en cluster A4 Biest - Hoeve </w:t>
      </w:r>
      <w:proofErr w:type="spellStart"/>
      <w:r w:rsidRPr="003B7CE2">
        <w:rPr>
          <w:rFonts w:ascii="Verdana" w:hAnsi="Verdana"/>
          <w:sz w:val="20"/>
          <w:szCs w:val="20"/>
        </w:rPr>
        <w:t>Bretonne</w:t>
      </w:r>
      <w:proofErr w:type="spellEnd"/>
      <w:r w:rsidRPr="003B7CE2">
        <w:rPr>
          <w:rFonts w:ascii="Verdana" w:hAnsi="Verdana"/>
          <w:sz w:val="20"/>
          <w:szCs w:val="20"/>
        </w:rPr>
        <w:t>’ (publicatie in Belgisch Staatsblad op 06/05/2015).</w:t>
      </w:r>
    </w:p>
    <w:p w14:paraId="7EFAAF4C" w14:textId="77777777" w:rsidR="00135407" w:rsidRPr="003B7CE2" w:rsidRDefault="00135407" w:rsidP="00135407">
      <w:pPr>
        <w:ind w:left="720"/>
        <w:jc w:val="both"/>
        <w:rPr>
          <w:rFonts w:ascii="Verdana" w:hAnsi="Verdana"/>
          <w:sz w:val="20"/>
          <w:szCs w:val="20"/>
          <w:lang w:val="nl-BE"/>
        </w:rPr>
      </w:pPr>
    </w:p>
    <w:p w14:paraId="511EED59" w14:textId="727D5E66" w:rsidR="003B7CE2" w:rsidRPr="003B7CE2" w:rsidRDefault="00B46313" w:rsidP="003B7CE2">
      <w:pPr>
        <w:numPr>
          <w:ilvl w:val="0"/>
          <w:numId w:val="5"/>
        </w:numPr>
        <w:jc w:val="both"/>
        <w:rPr>
          <w:rFonts w:ascii="Verdana" w:hAnsi="Verdana"/>
          <w:sz w:val="20"/>
          <w:szCs w:val="20"/>
          <w:lang w:val="nl-BE"/>
        </w:rPr>
      </w:pPr>
      <w:r>
        <w:rPr>
          <w:rFonts w:ascii="Verdana" w:hAnsi="Verdana"/>
          <w:sz w:val="20"/>
          <w:szCs w:val="20"/>
          <w:lang w:val="nl-BE"/>
        </w:rPr>
        <w:t>233 (3</w:t>
      </w:r>
      <w:r w:rsidR="003B7CE2" w:rsidRPr="003B7CE2">
        <w:rPr>
          <w:rFonts w:ascii="Verdana" w:hAnsi="Verdana"/>
          <w:sz w:val="20"/>
          <w:szCs w:val="20"/>
          <w:lang w:val="nl-BE"/>
        </w:rPr>
        <w:t>% van het totaal) dossiers zijn afkomstig van het gewestelijk RUP ‘</w:t>
      </w:r>
      <w:r w:rsidR="003B7CE2" w:rsidRPr="003B7CE2">
        <w:rPr>
          <w:rFonts w:ascii="Verdana" w:hAnsi="Verdana"/>
          <w:sz w:val="20"/>
          <w:szCs w:val="20"/>
        </w:rPr>
        <w:t>Afbakening van het VSGB en aansluitende open ruimtegebieden - cluster Zaventem’ (publicatie in Belgisch Staatsblad op 16/04/2015).</w:t>
      </w:r>
    </w:p>
    <w:p w14:paraId="31DAD8EE" w14:textId="77777777" w:rsidR="003B7CE2" w:rsidRPr="003B7CE2" w:rsidRDefault="003B7CE2" w:rsidP="003B7CE2">
      <w:pPr>
        <w:jc w:val="both"/>
        <w:rPr>
          <w:rFonts w:ascii="Verdana" w:hAnsi="Verdana"/>
          <w:sz w:val="20"/>
          <w:szCs w:val="20"/>
        </w:rPr>
      </w:pPr>
    </w:p>
    <w:p w14:paraId="33C0FA0E" w14:textId="79725976" w:rsidR="003B7CE2" w:rsidRPr="00135407" w:rsidRDefault="003B7CE2" w:rsidP="00135407">
      <w:pPr>
        <w:pStyle w:val="Lijstalinea"/>
        <w:numPr>
          <w:ilvl w:val="0"/>
          <w:numId w:val="7"/>
        </w:numPr>
        <w:jc w:val="both"/>
        <w:rPr>
          <w:rFonts w:ascii="Verdana" w:hAnsi="Verdana"/>
          <w:sz w:val="20"/>
          <w:szCs w:val="20"/>
        </w:rPr>
      </w:pPr>
      <w:r w:rsidRPr="00135407">
        <w:rPr>
          <w:rFonts w:ascii="Verdana" w:hAnsi="Verdana"/>
          <w:sz w:val="20"/>
          <w:szCs w:val="20"/>
        </w:rPr>
        <w:t xml:space="preserve">Bij het bepalen van planbaten wordt uitgegaan van de bestemmingscategorieën zoals </w:t>
      </w:r>
      <w:proofErr w:type="spellStart"/>
      <w:r w:rsidRPr="00135407">
        <w:rPr>
          <w:rFonts w:ascii="Verdana" w:hAnsi="Verdana"/>
          <w:sz w:val="20"/>
          <w:szCs w:val="20"/>
        </w:rPr>
        <w:t>opgelijst</w:t>
      </w:r>
      <w:proofErr w:type="spellEnd"/>
      <w:r w:rsidRPr="00135407">
        <w:rPr>
          <w:rFonts w:ascii="Verdana" w:hAnsi="Verdana"/>
          <w:sz w:val="20"/>
          <w:szCs w:val="20"/>
        </w:rPr>
        <w:t xml:space="preserve"> in art. 2.2.6.§2. van de </w:t>
      </w:r>
      <w:hyperlink r:id="rId11" w:history="1">
        <w:r w:rsidRPr="00135407">
          <w:rPr>
            <w:rStyle w:val="Hyperlink"/>
            <w:rFonts w:ascii="Verdana" w:hAnsi="Verdana"/>
            <w:sz w:val="20"/>
            <w:szCs w:val="20"/>
          </w:rPr>
          <w:t>Vlaamse Codex Ruimtelijke Ordening</w:t>
        </w:r>
      </w:hyperlink>
      <w:r w:rsidRPr="00135407">
        <w:rPr>
          <w:rFonts w:ascii="Verdana" w:hAnsi="Verdana"/>
          <w:sz w:val="20"/>
          <w:szCs w:val="20"/>
        </w:rPr>
        <w:t>. De 15 types van wijzigingen in categorie van gebiedsaanduiding die aanleiding kunnen geven tot een planbatenheffing staan vermeld in artikel 2.6.4. van de VCRO. Hierbij worden de bestemmingscategorieën ‘’natuurgebied’, ‘overig groen’ en ‘bos’ samengenomen</w:t>
      </w:r>
      <w:r w:rsidR="00B46313" w:rsidRPr="00135407">
        <w:rPr>
          <w:rFonts w:ascii="Verdana" w:hAnsi="Verdana"/>
          <w:sz w:val="20"/>
          <w:szCs w:val="20"/>
        </w:rPr>
        <w:t>,</w:t>
      </w:r>
      <w:r w:rsidRPr="00135407">
        <w:rPr>
          <w:rFonts w:ascii="Verdana" w:hAnsi="Verdana"/>
          <w:sz w:val="20"/>
          <w:szCs w:val="20"/>
        </w:rPr>
        <w:t xml:space="preserve"> zodat aparte cijfers voor de categorie ‘natuur’ niet kunnen worden berekend.</w:t>
      </w:r>
    </w:p>
    <w:p w14:paraId="0D45AB87" w14:textId="77777777" w:rsidR="003B7CE2" w:rsidRPr="003B7CE2" w:rsidRDefault="003B7CE2" w:rsidP="003B7CE2">
      <w:pPr>
        <w:jc w:val="both"/>
        <w:rPr>
          <w:rFonts w:ascii="Verdana" w:hAnsi="Verdana"/>
          <w:sz w:val="20"/>
          <w:szCs w:val="20"/>
        </w:rPr>
      </w:pPr>
    </w:p>
    <w:p w14:paraId="44D2159C" w14:textId="77777777" w:rsidR="003B7CE2" w:rsidRPr="003B7CE2" w:rsidRDefault="003B7CE2" w:rsidP="00135407">
      <w:pPr>
        <w:ind w:left="360"/>
        <w:jc w:val="both"/>
        <w:rPr>
          <w:rFonts w:ascii="Verdana" w:hAnsi="Verdana"/>
          <w:sz w:val="20"/>
          <w:szCs w:val="20"/>
        </w:rPr>
      </w:pPr>
      <w:r w:rsidRPr="003B7CE2">
        <w:rPr>
          <w:rFonts w:ascii="Verdana" w:hAnsi="Verdana"/>
          <w:sz w:val="20"/>
          <w:szCs w:val="20"/>
        </w:rPr>
        <w:t>De bestemmingscategorie ‘recreatie’ hoort thuis onder de ‘harde’ bestemmingscategorieën. De tabellen laten daarom telkens een opdeling zien tussen omzetting naar een ‘harde’ bestemmingscategorie inclusief en exclusief de bestemmingswijzigingen naar de gebiedscategorie ‘recreatie’.</w:t>
      </w:r>
    </w:p>
    <w:p w14:paraId="4A93EB05" w14:textId="77777777" w:rsidR="003B7CE2" w:rsidRPr="003B7CE2" w:rsidRDefault="003B7CE2" w:rsidP="003B7CE2">
      <w:pPr>
        <w:jc w:val="both"/>
        <w:rPr>
          <w:rFonts w:ascii="Verdana" w:hAnsi="Verdana"/>
          <w:sz w:val="20"/>
          <w:szCs w:val="20"/>
        </w:rPr>
      </w:pPr>
    </w:p>
    <w:p w14:paraId="27AC077E" w14:textId="1C93C1BF" w:rsidR="003B7CE2" w:rsidRPr="003B7CE2" w:rsidRDefault="003B7CE2" w:rsidP="00135407">
      <w:pPr>
        <w:ind w:left="360"/>
        <w:jc w:val="both"/>
        <w:rPr>
          <w:rFonts w:ascii="Verdana" w:hAnsi="Verdana"/>
          <w:sz w:val="20"/>
          <w:szCs w:val="20"/>
        </w:rPr>
      </w:pPr>
      <w:r w:rsidRPr="003B7CE2">
        <w:rPr>
          <w:rFonts w:ascii="Verdana" w:hAnsi="Verdana"/>
          <w:sz w:val="20"/>
          <w:szCs w:val="20"/>
        </w:rPr>
        <w:t xml:space="preserve">Tabel 1 geeft telkens het aantal kohierartikels aan waarvoor een bepaald type van wijziging in gebiedscategorie voorkomt. Éénzelfde dossier of kohier kan ook handelen over meerdere types van wijzigingen in bestemmingscategorie. Zo komen er </w:t>
      </w:r>
      <w:r w:rsidR="00135407" w:rsidRPr="003B7CE2">
        <w:rPr>
          <w:rFonts w:ascii="Verdana" w:hAnsi="Verdana"/>
          <w:sz w:val="20"/>
          <w:szCs w:val="20"/>
        </w:rPr>
        <w:t>bv.</w:t>
      </w:r>
      <w:r w:rsidRPr="003B7CE2">
        <w:rPr>
          <w:rFonts w:ascii="Verdana" w:hAnsi="Verdana"/>
          <w:sz w:val="20"/>
          <w:szCs w:val="20"/>
        </w:rPr>
        <w:t xml:space="preserve"> dossiers voor waarvoor de omzetting van bestemmingscategorie deels ‘landbouw’ en deels ‘groen’ naar een ‘harde’ bestemmingscategorie betreft. Een voorbeeld hiervan is een perceel dat vóór het in werking treden van het RUP deels een landbouwbestemming en deels een groene bestemming had en integraal werd omgezet naar de categorie ‘bedrijvigheid’. Deze dossiers worden dan ook dubbel geteld.</w:t>
      </w:r>
    </w:p>
    <w:p w14:paraId="0DA83D1A" w14:textId="77777777" w:rsidR="003B7CE2" w:rsidRPr="003B7CE2" w:rsidRDefault="003B7CE2" w:rsidP="00135407">
      <w:pPr>
        <w:ind w:left="360"/>
        <w:jc w:val="both"/>
        <w:rPr>
          <w:rFonts w:ascii="Verdana" w:hAnsi="Verdana"/>
          <w:sz w:val="20"/>
          <w:szCs w:val="20"/>
        </w:rPr>
      </w:pPr>
    </w:p>
    <w:p w14:paraId="0A3CB723" w14:textId="77777777" w:rsidR="003B7CE2" w:rsidRPr="003B7CE2" w:rsidRDefault="003B7CE2" w:rsidP="00135407">
      <w:pPr>
        <w:ind w:left="360"/>
        <w:jc w:val="both"/>
        <w:rPr>
          <w:rFonts w:ascii="Verdana" w:hAnsi="Verdana"/>
          <w:sz w:val="20"/>
          <w:szCs w:val="20"/>
        </w:rPr>
      </w:pPr>
      <w:r w:rsidRPr="003B7CE2">
        <w:rPr>
          <w:rFonts w:ascii="Verdana" w:hAnsi="Verdana"/>
          <w:sz w:val="20"/>
          <w:szCs w:val="20"/>
        </w:rPr>
        <w:t>In tabel 2 worden alle ‘zachte’ gebiedscategorieën samengenomen zodat er geen dubbeltelling is.</w:t>
      </w:r>
    </w:p>
    <w:p w14:paraId="564A5F07" w14:textId="77777777" w:rsidR="003B7CE2" w:rsidRPr="003B7CE2" w:rsidRDefault="003B7CE2" w:rsidP="00135407">
      <w:pPr>
        <w:ind w:left="360"/>
        <w:jc w:val="both"/>
        <w:rPr>
          <w:rFonts w:ascii="Verdana" w:hAnsi="Verdana"/>
          <w:sz w:val="20"/>
          <w:szCs w:val="20"/>
        </w:rPr>
      </w:pPr>
    </w:p>
    <w:p w14:paraId="7E2C7AE9" w14:textId="00208A3A" w:rsidR="003B7CE2" w:rsidRPr="003B7CE2" w:rsidRDefault="003B7CE2" w:rsidP="00135407">
      <w:pPr>
        <w:ind w:left="360"/>
        <w:jc w:val="both"/>
        <w:rPr>
          <w:rFonts w:ascii="Verdana" w:hAnsi="Verdana"/>
          <w:sz w:val="20"/>
          <w:szCs w:val="20"/>
        </w:rPr>
      </w:pPr>
      <w:r w:rsidRPr="003B7CE2">
        <w:rPr>
          <w:rFonts w:ascii="Verdana" w:hAnsi="Verdana"/>
          <w:sz w:val="20"/>
          <w:szCs w:val="20"/>
        </w:rPr>
        <w:t>Tenslotte bevatten onderstaande tabellen ook alleen maar cijfers voor de kohieren die nog openstaan en waarop dus geen vernietigingsarrest door de Raad van State of een vrijstellingsregel van toepassing is.</w:t>
      </w:r>
    </w:p>
    <w:p w14:paraId="0B744804" w14:textId="77777777" w:rsidR="003B7CE2" w:rsidRPr="00135407" w:rsidRDefault="003B7CE2" w:rsidP="003B7CE2">
      <w:pPr>
        <w:jc w:val="both"/>
        <w:rPr>
          <w:rFonts w:ascii="Verdana" w:hAnsi="Verdana"/>
          <w:sz w:val="20"/>
          <w:szCs w:val="20"/>
        </w:rPr>
      </w:pPr>
    </w:p>
    <w:tbl>
      <w:tblPr>
        <w:tblStyle w:val="Tabelraster"/>
        <w:tblW w:w="0" w:type="auto"/>
        <w:tblInd w:w="-5" w:type="dxa"/>
        <w:tblLook w:val="04A0" w:firstRow="1" w:lastRow="0" w:firstColumn="1" w:lastColumn="0" w:noHBand="0" w:noVBand="1"/>
      </w:tblPr>
      <w:tblGrid>
        <w:gridCol w:w="3042"/>
        <w:gridCol w:w="2797"/>
        <w:gridCol w:w="2797"/>
      </w:tblGrid>
      <w:tr w:rsidR="003B7CE2" w:rsidRPr="00A07600" w14:paraId="79F2A4E9" w14:textId="77777777" w:rsidTr="00803A08">
        <w:tc>
          <w:tcPr>
            <w:tcW w:w="3042" w:type="dxa"/>
            <w:shd w:val="clear" w:color="auto" w:fill="BFBFBF" w:themeFill="background1" w:themeFillShade="BF"/>
          </w:tcPr>
          <w:p w14:paraId="06FB6F3D" w14:textId="77777777" w:rsidR="003B7CE2" w:rsidRPr="00A07600" w:rsidRDefault="003B7CE2" w:rsidP="00803A08">
            <w:pPr>
              <w:jc w:val="both"/>
            </w:pPr>
            <w:r w:rsidRPr="00A07600">
              <w:t>van (categorie)</w:t>
            </w:r>
          </w:p>
        </w:tc>
        <w:tc>
          <w:tcPr>
            <w:tcW w:w="2797" w:type="dxa"/>
            <w:shd w:val="clear" w:color="auto" w:fill="BFBFBF" w:themeFill="background1" w:themeFillShade="BF"/>
          </w:tcPr>
          <w:p w14:paraId="76E729F5" w14:textId="77777777" w:rsidR="003B7CE2" w:rsidRPr="00A07600" w:rsidRDefault="003B7CE2" w:rsidP="00803A08">
            <w:pPr>
              <w:jc w:val="both"/>
            </w:pPr>
            <w:r w:rsidRPr="00A07600">
              <w:t>naar ‘harde’ categorie - exclusief ‘recreatie’</w:t>
            </w:r>
          </w:p>
        </w:tc>
        <w:tc>
          <w:tcPr>
            <w:tcW w:w="2797" w:type="dxa"/>
            <w:shd w:val="clear" w:color="auto" w:fill="BFBFBF" w:themeFill="background1" w:themeFillShade="BF"/>
          </w:tcPr>
          <w:p w14:paraId="1D41A20E" w14:textId="77777777" w:rsidR="003B7CE2" w:rsidRPr="00A07600" w:rsidRDefault="003B7CE2" w:rsidP="00803A08">
            <w:pPr>
              <w:jc w:val="both"/>
            </w:pPr>
            <w:r w:rsidRPr="00A07600">
              <w:t>naar ‘harde’ categorie - inclusief ‘recreatie’</w:t>
            </w:r>
          </w:p>
        </w:tc>
      </w:tr>
      <w:tr w:rsidR="003B7CE2" w:rsidRPr="00A07600" w14:paraId="58A29803" w14:textId="77777777" w:rsidTr="00803A08">
        <w:tc>
          <w:tcPr>
            <w:tcW w:w="3042" w:type="dxa"/>
          </w:tcPr>
          <w:p w14:paraId="6CAD76D4" w14:textId="77777777" w:rsidR="003B7CE2" w:rsidRPr="00A07600" w:rsidRDefault="003B7CE2" w:rsidP="00803A08">
            <w:pPr>
              <w:jc w:val="both"/>
            </w:pPr>
            <w:r>
              <w:t>a) l</w:t>
            </w:r>
            <w:r w:rsidRPr="00A07600">
              <w:t>andbouw</w:t>
            </w:r>
          </w:p>
        </w:tc>
        <w:tc>
          <w:tcPr>
            <w:tcW w:w="2797" w:type="dxa"/>
          </w:tcPr>
          <w:p w14:paraId="55B48A57" w14:textId="77777777" w:rsidR="003B7CE2" w:rsidRPr="00A07600" w:rsidRDefault="003B7CE2" w:rsidP="00803A08">
            <w:pPr>
              <w:jc w:val="both"/>
            </w:pPr>
            <w:r w:rsidRPr="00A07600">
              <w:t>2.462 dossiers</w:t>
            </w:r>
          </w:p>
        </w:tc>
        <w:tc>
          <w:tcPr>
            <w:tcW w:w="2797" w:type="dxa"/>
          </w:tcPr>
          <w:p w14:paraId="0A2C1808" w14:textId="77777777" w:rsidR="003B7CE2" w:rsidRPr="00A07600" w:rsidRDefault="003B7CE2" w:rsidP="00803A08">
            <w:pPr>
              <w:jc w:val="both"/>
            </w:pPr>
            <w:r w:rsidRPr="00A07600">
              <w:t>2.685 dossiers</w:t>
            </w:r>
          </w:p>
        </w:tc>
      </w:tr>
      <w:tr w:rsidR="003B7CE2" w:rsidRPr="00A07600" w14:paraId="64A9886A" w14:textId="77777777" w:rsidTr="00803A08">
        <w:tc>
          <w:tcPr>
            <w:tcW w:w="3042" w:type="dxa"/>
          </w:tcPr>
          <w:p w14:paraId="70AE9243" w14:textId="77777777" w:rsidR="003B7CE2" w:rsidRPr="00A07600" w:rsidRDefault="003B7CE2" w:rsidP="00803A08">
            <w:pPr>
              <w:jc w:val="both"/>
            </w:pPr>
            <w:r>
              <w:t xml:space="preserve">b) </w:t>
            </w:r>
            <w:r w:rsidRPr="00A07600">
              <w:t>natuur, overig groen en bos</w:t>
            </w:r>
          </w:p>
        </w:tc>
        <w:tc>
          <w:tcPr>
            <w:tcW w:w="2797" w:type="dxa"/>
          </w:tcPr>
          <w:p w14:paraId="742E191C" w14:textId="77777777" w:rsidR="003B7CE2" w:rsidRPr="00A07600" w:rsidRDefault="003B7CE2" w:rsidP="00803A08">
            <w:pPr>
              <w:jc w:val="both"/>
            </w:pPr>
            <w:r w:rsidRPr="00A07600">
              <w:t>655 dossiers</w:t>
            </w:r>
          </w:p>
        </w:tc>
        <w:tc>
          <w:tcPr>
            <w:tcW w:w="2797" w:type="dxa"/>
          </w:tcPr>
          <w:p w14:paraId="27864248" w14:textId="77777777" w:rsidR="003B7CE2" w:rsidRPr="00A07600" w:rsidRDefault="003B7CE2" w:rsidP="00803A08">
            <w:pPr>
              <w:jc w:val="both"/>
            </w:pPr>
            <w:r w:rsidRPr="00A07600">
              <w:t>875 dossiers</w:t>
            </w:r>
          </w:p>
        </w:tc>
      </w:tr>
      <w:tr w:rsidR="003B7CE2" w:rsidRPr="00A07600" w14:paraId="3FCD9A9C" w14:textId="77777777" w:rsidTr="00803A08">
        <w:tc>
          <w:tcPr>
            <w:tcW w:w="3042" w:type="dxa"/>
          </w:tcPr>
          <w:p w14:paraId="56E3368E" w14:textId="77777777" w:rsidR="003B7CE2" w:rsidRPr="00A07600" w:rsidRDefault="003B7CE2" w:rsidP="00803A08">
            <w:pPr>
              <w:jc w:val="both"/>
            </w:pPr>
            <w:r>
              <w:t xml:space="preserve">d) </w:t>
            </w:r>
            <w:r w:rsidRPr="00A07600">
              <w:t>recreatie</w:t>
            </w:r>
          </w:p>
        </w:tc>
        <w:tc>
          <w:tcPr>
            <w:tcW w:w="2797" w:type="dxa"/>
          </w:tcPr>
          <w:p w14:paraId="65B0BC93" w14:textId="77777777" w:rsidR="003B7CE2" w:rsidRPr="00A07600" w:rsidRDefault="003B7CE2" w:rsidP="00803A08">
            <w:pPr>
              <w:jc w:val="both"/>
            </w:pPr>
            <w:r w:rsidRPr="00A07600">
              <w:t>3.004 dossiers</w:t>
            </w:r>
          </w:p>
        </w:tc>
        <w:tc>
          <w:tcPr>
            <w:tcW w:w="2797" w:type="dxa"/>
          </w:tcPr>
          <w:p w14:paraId="483F4F2F" w14:textId="77777777" w:rsidR="003B7CE2" w:rsidRPr="00A07600" w:rsidRDefault="003B7CE2" w:rsidP="00803A08">
            <w:pPr>
              <w:jc w:val="both"/>
            </w:pPr>
            <w:r w:rsidRPr="00A07600">
              <w:t>3.004 dossiers</w:t>
            </w:r>
          </w:p>
        </w:tc>
      </w:tr>
      <w:tr w:rsidR="003B7CE2" w:rsidRPr="00A07600" w14:paraId="402AC405" w14:textId="77777777" w:rsidTr="00803A08">
        <w:tc>
          <w:tcPr>
            <w:tcW w:w="3042" w:type="dxa"/>
            <w:shd w:val="clear" w:color="auto" w:fill="BFBFBF" w:themeFill="background1" w:themeFillShade="BF"/>
          </w:tcPr>
          <w:p w14:paraId="4DB13906" w14:textId="77777777" w:rsidR="003B7CE2" w:rsidRPr="00A07600" w:rsidRDefault="003B7CE2" w:rsidP="00803A08">
            <w:pPr>
              <w:jc w:val="both"/>
            </w:pPr>
            <w:r>
              <w:t>t</w:t>
            </w:r>
            <w:r w:rsidRPr="00A07600">
              <w:t>otaal</w:t>
            </w:r>
          </w:p>
        </w:tc>
        <w:tc>
          <w:tcPr>
            <w:tcW w:w="2797" w:type="dxa"/>
            <w:shd w:val="clear" w:color="auto" w:fill="BFBFBF" w:themeFill="background1" w:themeFillShade="BF"/>
          </w:tcPr>
          <w:p w14:paraId="22E579AB" w14:textId="77777777" w:rsidR="003B7CE2" w:rsidRPr="00A07600" w:rsidRDefault="003B7CE2" w:rsidP="00803A08">
            <w:pPr>
              <w:jc w:val="both"/>
            </w:pPr>
            <w:r w:rsidRPr="00A07600">
              <w:t>6.121 dossiers</w:t>
            </w:r>
          </w:p>
        </w:tc>
        <w:tc>
          <w:tcPr>
            <w:tcW w:w="2797" w:type="dxa"/>
            <w:shd w:val="clear" w:color="auto" w:fill="BFBFBF" w:themeFill="background1" w:themeFillShade="BF"/>
          </w:tcPr>
          <w:p w14:paraId="58794A78" w14:textId="77777777" w:rsidR="003B7CE2" w:rsidRPr="00A07600" w:rsidRDefault="003B7CE2" w:rsidP="00803A08">
            <w:pPr>
              <w:jc w:val="both"/>
            </w:pPr>
            <w:r w:rsidRPr="00A07600">
              <w:t>6.564 dossiers</w:t>
            </w:r>
          </w:p>
        </w:tc>
      </w:tr>
    </w:tbl>
    <w:p w14:paraId="43AED945" w14:textId="2B3ADA41" w:rsidR="003B7CE2" w:rsidRPr="003B7CE2" w:rsidRDefault="003B7CE2" w:rsidP="00135407">
      <w:pPr>
        <w:jc w:val="both"/>
        <w:rPr>
          <w:rFonts w:ascii="Verdana" w:hAnsi="Verdana"/>
          <w:sz w:val="20"/>
          <w:szCs w:val="20"/>
          <w:lang w:val="nl-BE"/>
        </w:rPr>
      </w:pPr>
      <w:r w:rsidRPr="003B7CE2">
        <w:rPr>
          <w:rFonts w:ascii="Verdana" w:hAnsi="Verdana"/>
          <w:sz w:val="20"/>
          <w:szCs w:val="20"/>
          <w:lang w:val="nl-BE"/>
        </w:rPr>
        <w:t>tabel 1 - aantal dossiers met een omzetting van ‘zachte’ naar ‘harde’ bestemmingscategorie, opgesplitst per categorie</w:t>
      </w:r>
    </w:p>
    <w:p w14:paraId="25D203A9" w14:textId="77777777" w:rsidR="003B7CE2" w:rsidRPr="00135407" w:rsidRDefault="003B7CE2" w:rsidP="003B7CE2">
      <w:pPr>
        <w:jc w:val="both"/>
        <w:rPr>
          <w:rFonts w:ascii="Verdana" w:hAnsi="Verdana"/>
          <w:sz w:val="20"/>
          <w:szCs w:val="20"/>
          <w:lang w:val="nl-BE"/>
        </w:rPr>
      </w:pPr>
    </w:p>
    <w:p w14:paraId="552E486A" w14:textId="77777777" w:rsidR="00135407" w:rsidRDefault="00135407">
      <w:r>
        <w:br w:type="page"/>
      </w:r>
    </w:p>
    <w:tbl>
      <w:tblPr>
        <w:tblStyle w:val="Tabelraster"/>
        <w:tblW w:w="0" w:type="auto"/>
        <w:tblInd w:w="-5" w:type="dxa"/>
        <w:tblLook w:val="04A0" w:firstRow="1" w:lastRow="0" w:firstColumn="1" w:lastColumn="0" w:noHBand="0" w:noVBand="1"/>
      </w:tblPr>
      <w:tblGrid>
        <w:gridCol w:w="3042"/>
        <w:gridCol w:w="2797"/>
        <w:gridCol w:w="2797"/>
      </w:tblGrid>
      <w:tr w:rsidR="003B7CE2" w:rsidRPr="00A07600" w14:paraId="2B523C09" w14:textId="77777777" w:rsidTr="00803A08">
        <w:tc>
          <w:tcPr>
            <w:tcW w:w="3042" w:type="dxa"/>
            <w:shd w:val="clear" w:color="auto" w:fill="BFBFBF" w:themeFill="background1" w:themeFillShade="BF"/>
          </w:tcPr>
          <w:p w14:paraId="04E32AD6" w14:textId="595CB8E6" w:rsidR="003B7CE2" w:rsidRPr="00A07600" w:rsidRDefault="003B7CE2" w:rsidP="00803A08">
            <w:pPr>
              <w:jc w:val="both"/>
            </w:pPr>
            <w:r w:rsidRPr="00A07600">
              <w:lastRenderedPageBreak/>
              <w:t>van (categorie)</w:t>
            </w:r>
          </w:p>
        </w:tc>
        <w:tc>
          <w:tcPr>
            <w:tcW w:w="2797" w:type="dxa"/>
            <w:shd w:val="clear" w:color="auto" w:fill="BFBFBF" w:themeFill="background1" w:themeFillShade="BF"/>
          </w:tcPr>
          <w:p w14:paraId="19EF0F50" w14:textId="77777777" w:rsidR="003B7CE2" w:rsidRPr="00A07600" w:rsidRDefault="003B7CE2" w:rsidP="00803A08">
            <w:pPr>
              <w:jc w:val="both"/>
            </w:pPr>
            <w:r w:rsidRPr="00A07600">
              <w:t>naar ‘harde’ categorie - exclusief ‘recreatie’</w:t>
            </w:r>
          </w:p>
        </w:tc>
        <w:tc>
          <w:tcPr>
            <w:tcW w:w="2797" w:type="dxa"/>
            <w:shd w:val="clear" w:color="auto" w:fill="BFBFBF" w:themeFill="background1" w:themeFillShade="BF"/>
          </w:tcPr>
          <w:p w14:paraId="032B330D" w14:textId="77777777" w:rsidR="003B7CE2" w:rsidRPr="00A07600" w:rsidRDefault="003B7CE2" w:rsidP="00803A08">
            <w:pPr>
              <w:jc w:val="both"/>
            </w:pPr>
            <w:r w:rsidRPr="00A07600">
              <w:t>naar ‘harde’ categorie - inclusief ‘recreatie’</w:t>
            </w:r>
          </w:p>
        </w:tc>
      </w:tr>
      <w:tr w:rsidR="003B7CE2" w:rsidRPr="00A07600" w14:paraId="755249D4" w14:textId="77777777" w:rsidTr="00803A08">
        <w:tc>
          <w:tcPr>
            <w:tcW w:w="3042" w:type="dxa"/>
          </w:tcPr>
          <w:p w14:paraId="0CD5F599" w14:textId="77777777" w:rsidR="003B7CE2" w:rsidRPr="00A07600" w:rsidRDefault="003B7CE2" w:rsidP="00803A08">
            <w:pPr>
              <w:jc w:val="both"/>
            </w:pPr>
            <w:r>
              <w:t>l</w:t>
            </w:r>
            <w:r w:rsidRPr="00A07600">
              <w:t>andbouw</w:t>
            </w:r>
            <w:r>
              <w:t>, natuur, overig groen, bos en recreatie</w:t>
            </w:r>
          </w:p>
        </w:tc>
        <w:tc>
          <w:tcPr>
            <w:tcW w:w="2797" w:type="dxa"/>
          </w:tcPr>
          <w:p w14:paraId="073BAE46" w14:textId="77777777" w:rsidR="003B7CE2" w:rsidRPr="00A07600" w:rsidRDefault="003B7CE2" w:rsidP="00803A08">
            <w:pPr>
              <w:jc w:val="both"/>
            </w:pPr>
            <w:r>
              <w:t>5.868 dossiers</w:t>
            </w:r>
          </w:p>
        </w:tc>
        <w:tc>
          <w:tcPr>
            <w:tcW w:w="2797" w:type="dxa"/>
          </w:tcPr>
          <w:p w14:paraId="1799760B" w14:textId="77777777" w:rsidR="003B7CE2" w:rsidRPr="00A07600" w:rsidRDefault="003B7CE2" w:rsidP="00803A08">
            <w:pPr>
              <w:jc w:val="both"/>
            </w:pPr>
            <w:r>
              <w:t>6.495 dossiers</w:t>
            </w:r>
          </w:p>
        </w:tc>
      </w:tr>
    </w:tbl>
    <w:p w14:paraId="70E72EF1" w14:textId="77777777" w:rsidR="003B7CE2" w:rsidRPr="003B7CE2" w:rsidRDefault="003B7CE2" w:rsidP="003B7CE2">
      <w:pPr>
        <w:jc w:val="both"/>
        <w:rPr>
          <w:rFonts w:ascii="Verdana" w:hAnsi="Verdana"/>
          <w:sz w:val="20"/>
          <w:szCs w:val="20"/>
          <w:lang w:val="nl-BE"/>
        </w:rPr>
      </w:pPr>
      <w:r w:rsidRPr="003B7CE2">
        <w:rPr>
          <w:rFonts w:ascii="Verdana" w:hAnsi="Verdana"/>
          <w:sz w:val="20"/>
          <w:szCs w:val="20"/>
        </w:rPr>
        <w:t>t</w:t>
      </w:r>
      <w:r w:rsidRPr="003B7CE2">
        <w:rPr>
          <w:rFonts w:ascii="Verdana" w:hAnsi="Verdana"/>
          <w:sz w:val="20"/>
          <w:szCs w:val="20"/>
          <w:lang w:val="nl-BE"/>
        </w:rPr>
        <w:t>abel 2 - aantal dossiers met een omzetting van ‘zachte’ naar ‘harde’ bestemmingscategorie met samenvoeging van alle ‘zachte’ categorieën per dossier</w:t>
      </w:r>
    </w:p>
    <w:p w14:paraId="68E57A96" w14:textId="77777777" w:rsidR="003B7CE2" w:rsidRPr="00135407" w:rsidRDefault="003B7CE2" w:rsidP="003B7CE2">
      <w:pPr>
        <w:jc w:val="both"/>
        <w:rPr>
          <w:rFonts w:ascii="Verdana" w:hAnsi="Verdana"/>
          <w:sz w:val="20"/>
          <w:szCs w:val="20"/>
          <w:lang w:val="nl-BE"/>
        </w:rPr>
      </w:pPr>
    </w:p>
    <w:p w14:paraId="469CAEB9" w14:textId="77777777" w:rsidR="003B7CE2" w:rsidRPr="003B7CE2" w:rsidRDefault="003B7CE2" w:rsidP="00135407">
      <w:pPr>
        <w:ind w:left="360"/>
        <w:jc w:val="both"/>
        <w:rPr>
          <w:rFonts w:ascii="Verdana" w:hAnsi="Verdana"/>
          <w:sz w:val="20"/>
          <w:szCs w:val="20"/>
        </w:rPr>
      </w:pPr>
      <w:r w:rsidRPr="003B7CE2">
        <w:rPr>
          <w:rFonts w:ascii="Verdana" w:hAnsi="Verdana"/>
          <w:sz w:val="20"/>
          <w:szCs w:val="20"/>
        </w:rPr>
        <w:t>Voor vraag 4c) is het antwoord ‘nul dossiers’ omdat een omzetting van ‘woonreservegebied’, hetgeen thuishoort in de categorie van gebiedsaanduiding ‘wonen’ naar een andere gebiedscategorie, nooit aanleiding kan geven tot een planbatenheffing. De categorie ‘wonen’ wordt immers beschouwd als de ‘hoogste’ bestemmingscategorie.</w:t>
      </w:r>
    </w:p>
    <w:p w14:paraId="6ED93A5D" w14:textId="77777777" w:rsidR="003B7CE2" w:rsidRPr="003B7CE2" w:rsidRDefault="003B7CE2" w:rsidP="003B7CE2">
      <w:pPr>
        <w:jc w:val="both"/>
        <w:rPr>
          <w:rFonts w:ascii="Verdana" w:hAnsi="Verdana"/>
          <w:sz w:val="20"/>
          <w:szCs w:val="20"/>
          <w:lang w:val="nl-BE"/>
        </w:rPr>
      </w:pPr>
    </w:p>
    <w:p w14:paraId="1EA0F9F9" w14:textId="1E4F36C4" w:rsidR="003B7CE2" w:rsidRPr="00135407" w:rsidRDefault="003B7CE2" w:rsidP="00135407">
      <w:pPr>
        <w:pStyle w:val="Lijstalinea"/>
        <w:numPr>
          <w:ilvl w:val="0"/>
          <w:numId w:val="7"/>
        </w:numPr>
        <w:jc w:val="both"/>
        <w:rPr>
          <w:rFonts w:ascii="Verdana" w:hAnsi="Verdana"/>
          <w:sz w:val="20"/>
          <w:szCs w:val="20"/>
          <w:lang w:val="nl-BE"/>
        </w:rPr>
      </w:pPr>
      <w:r w:rsidRPr="00135407">
        <w:rPr>
          <w:rFonts w:ascii="Verdana" w:hAnsi="Verdana"/>
          <w:sz w:val="20"/>
          <w:szCs w:val="20"/>
          <w:lang w:val="nl-BE"/>
        </w:rPr>
        <w:t xml:space="preserve">In 2016 werd door </w:t>
      </w:r>
      <w:r w:rsidR="00B46313" w:rsidRPr="00135407">
        <w:rPr>
          <w:rFonts w:ascii="Verdana" w:hAnsi="Verdana"/>
          <w:sz w:val="20"/>
          <w:szCs w:val="20"/>
          <w:lang w:val="nl-BE"/>
        </w:rPr>
        <w:t>de</w:t>
      </w:r>
      <w:r w:rsidRPr="00135407">
        <w:rPr>
          <w:rFonts w:ascii="Verdana" w:hAnsi="Verdana"/>
          <w:sz w:val="20"/>
          <w:szCs w:val="20"/>
          <w:lang w:val="nl-BE"/>
        </w:rPr>
        <w:t xml:space="preserve"> Vlaams overheid in totaal 844.966 euro aan planschadevergoedingen betaald (op gewestelijk niveau), gespreid over vier dossiers, met een gezamenlijke oppervlakte van 3ha 43a 93ca.</w:t>
      </w:r>
    </w:p>
    <w:p w14:paraId="160BA338" w14:textId="77777777" w:rsidR="003B7CE2" w:rsidRPr="003B7CE2" w:rsidRDefault="003B7CE2" w:rsidP="003B7CE2">
      <w:pPr>
        <w:jc w:val="both"/>
        <w:rPr>
          <w:rFonts w:ascii="Verdana" w:hAnsi="Verdana"/>
          <w:sz w:val="20"/>
          <w:szCs w:val="20"/>
          <w:lang w:val="nl-BE"/>
        </w:rPr>
      </w:pPr>
    </w:p>
    <w:p w14:paraId="4A18A13D" w14:textId="4E974713" w:rsidR="0075030D" w:rsidRPr="00135407" w:rsidRDefault="003B7CE2" w:rsidP="00C35D85">
      <w:pPr>
        <w:pStyle w:val="Lijstalinea"/>
        <w:numPr>
          <w:ilvl w:val="0"/>
          <w:numId w:val="7"/>
        </w:numPr>
        <w:jc w:val="both"/>
        <w:rPr>
          <w:rFonts w:ascii="Verdana" w:hAnsi="Verdana"/>
          <w:sz w:val="20"/>
          <w:szCs w:val="20"/>
        </w:rPr>
      </w:pPr>
      <w:r w:rsidRPr="00135407">
        <w:rPr>
          <w:rFonts w:ascii="Verdana" w:hAnsi="Verdana"/>
          <w:sz w:val="20"/>
          <w:szCs w:val="20"/>
          <w:lang w:val="nl-BE"/>
        </w:rPr>
        <w:t xml:space="preserve">In het artikel uit </w:t>
      </w:r>
      <w:proofErr w:type="spellStart"/>
      <w:r w:rsidRPr="00135407">
        <w:rPr>
          <w:rFonts w:ascii="Verdana" w:hAnsi="Verdana"/>
          <w:sz w:val="20"/>
          <w:szCs w:val="20"/>
          <w:lang w:val="nl-BE"/>
        </w:rPr>
        <w:t>Knack</w:t>
      </w:r>
      <w:proofErr w:type="spellEnd"/>
      <w:r w:rsidRPr="00135407">
        <w:rPr>
          <w:rFonts w:ascii="Verdana" w:hAnsi="Verdana"/>
          <w:sz w:val="20"/>
          <w:szCs w:val="20"/>
          <w:lang w:val="nl-BE"/>
        </w:rPr>
        <w:t xml:space="preserve"> (15 augustus 2017) is sprake van een bedrag van 1,5 miljard euro dat de overheid de komende kwarteeuw aan planschade zou moeten betalen. De auteur van het artikel geeft aan dat dit bedrag ‘een raming’ is die momenteel ‘circuleert’. Het is dan ook niet mogelijk om te antwoorden of dit bedrag correct is of niet, aangezien onduidelijk is naar welk bedrag of situatie de auteur precies verwijst. Welke parameters zijn gebruikt (oppervlakte, bestemmingscategorie, ligging, verwervingswaarde, lopende planinitiatieven, wijzigingen regelgeving planschade, …). Een gelijkaardige bedrag werd eerder besproken in de plenaire vergadering van 8 februari 2017. Daar heb ik aangegeven dat het om een heel ruwe raming gaat van de administratie, waarbij enkel werd gekeken naar een deel van het juridisch aanbod. Een onderbouwde inschatting van de exacte bedragen is op dit moment niet beschikbaar. De verwachte planschadekost wordt (naast andere kosten en baten) onderzocht in het lopend onderzoek ‘Budgettaire en financiële impact van het </w:t>
      </w:r>
      <w:proofErr w:type="spellStart"/>
      <w:r w:rsidRPr="00135407">
        <w:rPr>
          <w:rFonts w:ascii="Verdana" w:hAnsi="Verdana"/>
          <w:sz w:val="20"/>
          <w:szCs w:val="20"/>
          <w:lang w:val="nl-BE"/>
        </w:rPr>
        <w:t>transitiepad</w:t>
      </w:r>
      <w:proofErr w:type="spellEnd"/>
      <w:r w:rsidRPr="00135407">
        <w:rPr>
          <w:rFonts w:ascii="Verdana" w:hAnsi="Verdana"/>
          <w:sz w:val="20"/>
          <w:szCs w:val="20"/>
          <w:lang w:val="nl-BE"/>
        </w:rPr>
        <w:t xml:space="preserve"> uit het Witboek BRV’</w:t>
      </w:r>
      <w:r w:rsidR="00B46313" w:rsidRPr="00135407">
        <w:rPr>
          <w:rFonts w:ascii="Verdana" w:hAnsi="Verdana"/>
          <w:sz w:val="20"/>
          <w:szCs w:val="20"/>
          <w:lang w:val="nl-BE"/>
        </w:rPr>
        <w:t>,</w:t>
      </w:r>
      <w:r w:rsidRPr="00135407">
        <w:rPr>
          <w:rFonts w:ascii="Verdana" w:hAnsi="Verdana"/>
          <w:sz w:val="20"/>
          <w:szCs w:val="20"/>
          <w:lang w:val="nl-BE"/>
        </w:rPr>
        <w:t xml:space="preserve"> waarvan de resultaten eind 2017 worden verwacht.</w:t>
      </w:r>
      <w:bookmarkStart w:id="0" w:name="_GoBack"/>
      <w:bookmarkEnd w:id="0"/>
    </w:p>
    <w:sectPr w:rsidR="0075030D" w:rsidRPr="00135407" w:rsidSect="005040C5">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9A87193"/>
    <w:multiLevelType w:val="hybridMultilevel"/>
    <w:tmpl w:val="A866E38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4">
    <w:nsid w:val="7BCD4845"/>
    <w:multiLevelType w:val="hybridMultilevel"/>
    <w:tmpl w:val="A2C616D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7D4B0998"/>
    <w:multiLevelType w:val="hybridMultilevel"/>
    <w:tmpl w:val="8AB4A12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976E9"/>
    <w:rsid w:val="000C4E8C"/>
    <w:rsid w:val="000F3532"/>
    <w:rsid w:val="00135407"/>
    <w:rsid w:val="00210C07"/>
    <w:rsid w:val="002346BF"/>
    <w:rsid w:val="0027585B"/>
    <w:rsid w:val="00301372"/>
    <w:rsid w:val="00326A58"/>
    <w:rsid w:val="003A470F"/>
    <w:rsid w:val="003B7CE2"/>
    <w:rsid w:val="004A14F0"/>
    <w:rsid w:val="004F124F"/>
    <w:rsid w:val="0056360C"/>
    <w:rsid w:val="005D5073"/>
    <w:rsid w:val="005E1766"/>
    <w:rsid w:val="005E38CA"/>
    <w:rsid w:val="006563FB"/>
    <w:rsid w:val="0069528B"/>
    <w:rsid w:val="0071248C"/>
    <w:rsid w:val="007252C7"/>
    <w:rsid w:val="0075030D"/>
    <w:rsid w:val="007C07F4"/>
    <w:rsid w:val="008B102E"/>
    <w:rsid w:val="008D1BFB"/>
    <w:rsid w:val="008D5DB4"/>
    <w:rsid w:val="00932B48"/>
    <w:rsid w:val="009347E0"/>
    <w:rsid w:val="009D7043"/>
    <w:rsid w:val="00A51FBA"/>
    <w:rsid w:val="00AE4255"/>
    <w:rsid w:val="00AF015F"/>
    <w:rsid w:val="00B13476"/>
    <w:rsid w:val="00B45EB2"/>
    <w:rsid w:val="00B46313"/>
    <w:rsid w:val="00BE425A"/>
    <w:rsid w:val="00C35D85"/>
    <w:rsid w:val="00C91441"/>
    <w:rsid w:val="00D02FE6"/>
    <w:rsid w:val="00D71D99"/>
    <w:rsid w:val="00D754F2"/>
    <w:rsid w:val="00DB41C0"/>
    <w:rsid w:val="00DC4DB6"/>
    <w:rsid w:val="00E55200"/>
    <w:rsid w:val="00E85C8D"/>
    <w:rsid w:val="00EB5F47"/>
    <w:rsid w:val="00ED3D88"/>
    <w:rsid w:val="00ED4AD8"/>
    <w:rsid w:val="00FA29D6"/>
    <w:rsid w:val="00FB7BA4"/>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B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4F124F"/>
    <w:rPr>
      <w:rFonts w:ascii="Tahoma" w:hAnsi="Tahoma" w:cs="Tahoma"/>
      <w:sz w:val="16"/>
      <w:szCs w:val="16"/>
    </w:rPr>
  </w:style>
  <w:style w:type="character" w:customStyle="1" w:styleId="BallontekstChar">
    <w:name w:val="Ballontekst Char"/>
    <w:basedOn w:val="Standaardalinea-lettertype"/>
    <w:link w:val="Ballontekst"/>
    <w:rsid w:val="004F124F"/>
    <w:rPr>
      <w:rFonts w:ascii="Tahoma" w:hAnsi="Tahoma" w:cs="Tahoma"/>
      <w:sz w:val="16"/>
      <w:szCs w:val="16"/>
      <w:lang w:val="nl-NL" w:eastAsia="nl-NL"/>
    </w:rPr>
  </w:style>
  <w:style w:type="paragraph" w:styleId="Lijstalinea">
    <w:name w:val="List Paragraph"/>
    <w:basedOn w:val="Standaard"/>
    <w:uiPriority w:val="34"/>
    <w:qFormat/>
    <w:rsid w:val="00C35D85"/>
    <w:pPr>
      <w:ind w:left="720"/>
      <w:contextualSpacing/>
    </w:pPr>
  </w:style>
  <w:style w:type="character" w:styleId="Hyperlink">
    <w:name w:val="Hyperlink"/>
    <w:rsid w:val="003B7CE2"/>
    <w:rPr>
      <w:color w:val="0000FF"/>
      <w:u w:val="single"/>
    </w:rPr>
  </w:style>
  <w:style w:type="table" w:styleId="Tabelraster">
    <w:name w:val="Table Grid"/>
    <w:basedOn w:val="Standaardtabel"/>
    <w:rsid w:val="003B7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4F124F"/>
    <w:rPr>
      <w:rFonts w:ascii="Tahoma" w:hAnsi="Tahoma" w:cs="Tahoma"/>
      <w:sz w:val="16"/>
      <w:szCs w:val="16"/>
    </w:rPr>
  </w:style>
  <w:style w:type="character" w:customStyle="1" w:styleId="BallontekstChar">
    <w:name w:val="Ballontekst Char"/>
    <w:basedOn w:val="Standaardalinea-lettertype"/>
    <w:link w:val="Ballontekst"/>
    <w:rsid w:val="004F124F"/>
    <w:rPr>
      <w:rFonts w:ascii="Tahoma" w:hAnsi="Tahoma" w:cs="Tahoma"/>
      <w:sz w:val="16"/>
      <w:szCs w:val="16"/>
      <w:lang w:val="nl-NL" w:eastAsia="nl-NL"/>
    </w:rPr>
  </w:style>
  <w:style w:type="paragraph" w:styleId="Lijstalinea">
    <w:name w:val="List Paragraph"/>
    <w:basedOn w:val="Standaard"/>
    <w:uiPriority w:val="34"/>
    <w:qFormat/>
    <w:rsid w:val="00C35D85"/>
    <w:pPr>
      <w:ind w:left="720"/>
      <w:contextualSpacing/>
    </w:pPr>
  </w:style>
  <w:style w:type="character" w:styleId="Hyperlink">
    <w:name w:val="Hyperlink"/>
    <w:rsid w:val="003B7CE2"/>
    <w:rPr>
      <w:color w:val="0000FF"/>
      <w:u w:val="single"/>
    </w:rPr>
  </w:style>
  <w:style w:type="table" w:styleId="Tabelraster">
    <w:name w:val="Table Grid"/>
    <w:basedOn w:val="Standaardtabel"/>
    <w:rsid w:val="003B7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uimtevlaanderen.be/NL/Beleid/Wetgeving/Vlaamse-Codex-RO/VCRO-T2-Planning/VCRO-T2-H6-Planschade-en-planbaten" TargetMode="External"/><Relationship Id="rId5" Type="http://schemas.openxmlformats.org/officeDocument/2006/relationships/numbering" Target="numbering.xml"/><Relationship Id="rId10" Type="http://schemas.openxmlformats.org/officeDocument/2006/relationships/hyperlink" Target="https://www.ruimtevlaanderen.be/NL/Beleid/Wetgeving/Vlaamse-Codex-RO/VCRO-T2-Planning/VCRO-T2-H6-Planschade-en-planbat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0B4FD2"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1"/>
    <w:rsid w:val="00026AA1"/>
    <w:rsid w:val="000B4FD2"/>
    <w:rsid w:val="003855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9CC6EABF89740882D6CD7B2CE0776" ma:contentTypeVersion="0" ma:contentTypeDescription="Een nieuw document maken." ma:contentTypeScope="" ma:versionID="565efd325ff782ed27030943f0d85571">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41FF0-ABD4-485B-AE51-DCCEF1F2B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FFA186-0E9A-435E-A968-36FE710DA7C4}">
  <ds:schemaRefs>
    <ds:schemaRef ds:uri="http://schemas.microsoft.com/sharepoint/v3/contenttype/forms"/>
  </ds:schemaRefs>
</ds:datastoreItem>
</file>

<file path=customXml/itemProps3.xml><?xml version="1.0" encoding="utf-8"?>
<ds:datastoreItem xmlns:ds="http://schemas.openxmlformats.org/officeDocument/2006/customXml" ds:itemID="{EF1C902A-A55A-4235-9F2C-ABA79E7EF7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3AA58-70A2-4446-B950-0A7B51C1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4</TotalTime>
  <Pages>3</Pages>
  <Words>1200</Words>
  <Characters>6606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2014-08-26T13:40:00Z</cp:lastPrinted>
  <dcterms:created xsi:type="dcterms:W3CDTF">2017-10-05T07:43:00Z</dcterms:created>
  <dcterms:modified xsi:type="dcterms:W3CDTF">2017-10-05T09:32:00Z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0x0101003589CC6EABF89740882D6CD7B2CE0776</vt:lpwstr>
  </property>
</Properties>
</file>